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05790" w14:textId="3CC95010" w:rsidR="00E557EF"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01780234"/>
      <w:r>
        <w:rPr>
          <w:rFonts w:eastAsia="SimSun" w:cs="Arial"/>
          <w:b/>
          <w:kern w:val="0"/>
          <w:sz w:val="28"/>
          <w:szCs w:val="28"/>
          <w:lang w:val="en-US" w:eastAsia="en-US"/>
        </w:rPr>
        <w:t>3GPP TSG-RAN2#1</w:t>
      </w:r>
      <w:r>
        <w:rPr>
          <w:rFonts w:eastAsia="SimSun" w:cs="Arial" w:hint="eastAsia"/>
          <w:b/>
          <w:kern w:val="0"/>
          <w:sz w:val="28"/>
          <w:szCs w:val="28"/>
          <w:lang w:val="en-US" w:eastAsia="zh-CN"/>
        </w:rPr>
        <w:t>20</w:t>
      </w:r>
      <w:r>
        <w:rPr>
          <w:rFonts w:eastAsia="SimSun" w:cs="Arial"/>
          <w:b/>
          <w:kern w:val="0"/>
          <w:sz w:val="28"/>
          <w:szCs w:val="28"/>
          <w:lang w:val="en-US" w:eastAsia="en-US"/>
        </w:rPr>
        <w:tab/>
        <w:t xml:space="preserve">   </w:t>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sidR="00AC5A84" w:rsidRPr="00AC5A84">
        <w:rPr>
          <w:rFonts w:eastAsia="SimSun" w:cs="Arial"/>
          <w:b/>
          <w:kern w:val="0"/>
          <w:sz w:val="28"/>
          <w:szCs w:val="28"/>
          <w:lang w:val="en-US" w:eastAsia="en-US"/>
        </w:rPr>
        <w:t>R2-2211530</w:t>
      </w:r>
    </w:p>
    <w:p w14:paraId="009C07F5" w14:textId="77777777" w:rsidR="00E557EF" w:rsidRDefault="00000000">
      <w:pPr>
        <w:keepLines/>
        <w:widowControl/>
        <w:tabs>
          <w:tab w:val="left" w:pos="567"/>
        </w:tabs>
        <w:adjustRightInd w:val="0"/>
        <w:snapToGrid w:val="0"/>
        <w:spacing w:after="0" w:line="276" w:lineRule="auto"/>
        <w:jc w:val="left"/>
        <w:rPr>
          <w:rFonts w:cs="Arial"/>
          <w:b/>
          <w:bCs/>
          <w:kern w:val="0"/>
          <w:sz w:val="28"/>
          <w:szCs w:val="28"/>
        </w:rPr>
      </w:pPr>
      <w:r>
        <w:rPr>
          <w:rFonts w:eastAsia="SimSun" w:cs="Arial" w:hint="eastAsia"/>
          <w:b/>
          <w:kern w:val="0"/>
          <w:sz w:val="28"/>
          <w:szCs w:val="28"/>
          <w:lang w:val="en-US" w:eastAsia="zh-CN"/>
        </w:rPr>
        <w:t xml:space="preserve">Toulouse, France, November </w:t>
      </w:r>
      <w:r>
        <w:rPr>
          <w:rFonts w:eastAsia="SimSun" w:cs="Arial"/>
          <w:b/>
          <w:kern w:val="0"/>
          <w:sz w:val="28"/>
          <w:szCs w:val="28"/>
          <w:lang w:val="en-US" w:eastAsia="en-US"/>
        </w:rPr>
        <w:t>2022</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7CE9F0E8" w14:textId="77777777" w:rsidR="00E557EF"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35CBE93F" w14:textId="77777777" w:rsidR="00E557EF"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Pr>
          <w:rFonts w:cs="Arial" w:hint="eastAsia"/>
          <w:b/>
          <w:bCs/>
          <w:snapToGrid w:val="0"/>
          <w:kern w:val="0"/>
          <w:sz w:val="28"/>
          <w:szCs w:val="28"/>
          <w:lang w:val="en-US" w:eastAsia="zh-CN"/>
        </w:rPr>
        <w:t>F</w:t>
      </w:r>
      <w:proofErr w:type="spellStart"/>
      <w:r>
        <w:rPr>
          <w:rFonts w:cs="Arial"/>
          <w:b/>
          <w:bCs/>
          <w:snapToGrid w:val="0"/>
          <w:kern w:val="0"/>
          <w:sz w:val="28"/>
          <w:szCs w:val="28"/>
        </w:rPr>
        <w:t>eedback</w:t>
      </w:r>
      <w:proofErr w:type="spellEnd"/>
      <w:r>
        <w:rPr>
          <w:rFonts w:cs="Arial"/>
          <w:b/>
          <w:bCs/>
          <w:snapToGrid w:val="0"/>
          <w:kern w:val="0"/>
          <w:sz w:val="28"/>
          <w:szCs w:val="28"/>
        </w:rPr>
        <w:t xml:space="preserve"> enhancements for XR capacity </w:t>
      </w:r>
    </w:p>
    <w:p w14:paraId="6ABFE9BB" w14:textId="77777777" w:rsidR="00E557EF"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8.5.</w:t>
      </w:r>
      <w:r>
        <w:rPr>
          <w:rFonts w:cs="Arial" w:hint="eastAsia"/>
          <w:b/>
          <w:bCs/>
          <w:snapToGrid w:val="0"/>
          <w:kern w:val="0"/>
          <w:sz w:val="28"/>
          <w:szCs w:val="28"/>
          <w:lang w:val="en-US" w:eastAsia="zh-CN"/>
        </w:rPr>
        <w:t>4.1</w:t>
      </w:r>
    </w:p>
    <w:p w14:paraId="5F768E96" w14:textId="77777777" w:rsidR="00E557EF"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624900A8" w14:textId="77777777" w:rsidR="00E557EF"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3966"/>
      <w:bookmarkStart w:id="5" w:name="_Toc18404533"/>
      <w:bookmarkEnd w:id="0"/>
      <w:r>
        <w:rPr>
          <w:rFonts w:cs="Arial"/>
          <w:b w:val="0"/>
          <w:bCs w:val="0"/>
          <w:kern w:val="0"/>
          <w:sz w:val="32"/>
          <w:szCs w:val="36"/>
        </w:rPr>
        <w:t>Introduction</w:t>
      </w:r>
      <w:bookmarkEnd w:id="3"/>
      <w:bookmarkEnd w:id="4"/>
      <w:bookmarkEnd w:id="5"/>
    </w:p>
    <w:p w14:paraId="25AB2A03" w14:textId="77777777" w:rsidR="00E557EF" w:rsidRDefault="00000000">
      <w:pPr>
        <w:pStyle w:val="NormalWeb"/>
        <w:spacing w:before="75" w:after="75" w:line="315" w:lineRule="atLeast"/>
        <w:rPr>
          <w:rFonts w:eastAsia="SimSun" w:cs="Arial"/>
          <w:color w:val="000000"/>
          <w:sz w:val="21"/>
          <w:lang w:val="en-US" w:eastAsia="zh-CN"/>
        </w:rPr>
      </w:pPr>
      <w:r>
        <w:rPr>
          <w:rFonts w:eastAsia="SimSun" w:cs="Arial" w:hint="eastAsia"/>
          <w:color w:val="000000"/>
          <w:sz w:val="21"/>
          <w:lang w:val="en-US" w:eastAsia="zh-CN"/>
        </w:rPr>
        <w:t xml:space="preserve">In RAN2#119bis-e meeting, the following agreements has been </w:t>
      </w:r>
      <w:proofErr w:type="gramStart"/>
      <w:r>
        <w:rPr>
          <w:rFonts w:eastAsia="SimSun" w:cs="Arial" w:hint="eastAsia"/>
          <w:color w:val="000000"/>
          <w:sz w:val="21"/>
          <w:lang w:val="en-US" w:eastAsia="zh-CN"/>
        </w:rPr>
        <w:t>agreed</w:t>
      </w:r>
      <w:r>
        <w:rPr>
          <w:rFonts w:eastAsia="SimSun" w:cs="Arial"/>
          <w:color w:val="000000"/>
          <w:sz w:val="21"/>
          <w:lang w:val="en-US" w:eastAsia="zh-CN"/>
        </w:rPr>
        <w:t>[</w:t>
      </w:r>
      <w:proofErr w:type="gramEnd"/>
      <w:r>
        <w:rPr>
          <w:rFonts w:eastAsia="SimSun" w:cs="Arial"/>
          <w:color w:val="000000"/>
          <w:sz w:val="21"/>
          <w:lang w:val="en-US" w:eastAsia="zh-CN"/>
        </w:rPr>
        <w:t>3]:</w:t>
      </w:r>
    </w:p>
    <w:tbl>
      <w:tblPr>
        <w:tblStyle w:val="TableGrid"/>
        <w:tblW w:w="0" w:type="auto"/>
        <w:tblLook w:val="04A0" w:firstRow="1" w:lastRow="0" w:firstColumn="1" w:lastColumn="0" w:noHBand="0" w:noVBand="1"/>
      </w:tblPr>
      <w:tblGrid>
        <w:gridCol w:w="9771"/>
      </w:tblGrid>
      <w:tr w:rsidR="00E557EF" w14:paraId="43A7A893" w14:textId="77777777">
        <w:tc>
          <w:tcPr>
            <w:tcW w:w="9997" w:type="dxa"/>
          </w:tcPr>
          <w:p w14:paraId="32778E08" w14:textId="77777777" w:rsidR="00E557EF" w:rsidRDefault="00000000">
            <w:pPr>
              <w:numPr>
                <w:ilvl w:val="0"/>
                <w:numId w:val="6"/>
              </w:numPr>
              <w:spacing w:after="0" w:line="240" w:lineRule="auto"/>
            </w:pPr>
            <w:r>
              <w:t>1: introduce new BS table(s) to reduce the quantisation errors (</w:t>
            </w:r>
            <w:proofErr w:type="gramStart"/>
            <w:r>
              <w:t>e.g.</w:t>
            </w:r>
            <w:proofErr w:type="gramEnd"/>
            <w:r>
              <w:t xml:space="preserve"> for high bit rates). FFS how new BSR tables are created and how they impact BSR formats (can be discussed in WI phase). </w:t>
            </w:r>
          </w:p>
          <w:p w14:paraId="2F9093B0" w14:textId="77777777" w:rsidR="00E557EF" w:rsidRDefault="00000000">
            <w:pPr>
              <w:numPr>
                <w:ilvl w:val="0"/>
                <w:numId w:val="6"/>
              </w:numPr>
              <w:spacing w:after="0" w:line="240" w:lineRule="auto"/>
            </w:pPr>
            <w:r>
              <w:t>Delay information consists of at least “remaining time”.</w:t>
            </w:r>
          </w:p>
          <w:p w14:paraId="587E850D" w14:textId="77777777" w:rsidR="00E557EF" w:rsidRDefault="00000000">
            <w:pPr>
              <w:numPr>
                <w:ilvl w:val="0"/>
                <w:numId w:val="6"/>
              </w:numPr>
              <w:spacing w:after="0" w:line="240" w:lineRule="auto"/>
            </w:pPr>
            <w:r>
              <w:t>2: RAN2 considers a delay information is useful for XR. FFS if dynamic reporting from UE to network (</w:t>
            </w:r>
            <w:proofErr w:type="gramStart"/>
            <w:r>
              <w:t>e.g.</w:t>
            </w:r>
            <w:proofErr w:type="gramEnd"/>
            <w:r>
              <w:t xml:space="preserve"> via BSR) is needed, or whether PSDB is sufficient. If we have delay information, it needs to distinguish how much data is buffered for which delay value. Stage-3 details (</w:t>
            </w:r>
            <w:proofErr w:type="gramStart"/>
            <w:r>
              <w:t>e.g.</w:t>
            </w:r>
            <w:proofErr w:type="gramEnd"/>
            <w:r>
              <w:t xml:space="preserve"> what’s contained, how the triggering is done) can be discussed in the WI phase.</w:t>
            </w:r>
          </w:p>
          <w:p w14:paraId="08C333D2" w14:textId="77777777" w:rsidR="00E557EF" w:rsidRDefault="00000000">
            <w:pPr>
              <w:numPr>
                <w:ilvl w:val="0"/>
                <w:numId w:val="6"/>
              </w:numPr>
              <w:spacing w:after="0" w:line="240" w:lineRule="auto"/>
              <w:rPr>
                <w:rFonts w:cs="Arial"/>
                <w:color w:val="000000"/>
              </w:rPr>
            </w:pPr>
            <w:r>
              <w:t>If we have delay information reporting, RAN2 aims to define how the UE determines the “remaining time” in the delay information</w:t>
            </w:r>
          </w:p>
        </w:tc>
      </w:tr>
    </w:tbl>
    <w:p w14:paraId="11FAEC77" w14:textId="77777777" w:rsidR="00E557EF" w:rsidRDefault="00000000">
      <w:pPr>
        <w:pStyle w:val="NormalWeb"/>
        <w:spacing w:before="75" w:beforeAutospacing="0" w:after="75" w:afterAutospacing="0" w:line="315" w:lineRule="atLeast"/>
        <w:rPr>
          <w:rFonts w:cs="Arial"/>
          <w:color w:val="000000"/>
          <w:sz w:val="21"/>
        </w:rPr>
      </w:pPr>
      <w:r>
        <w:rPr>
          <w:rFonts w:cs="Arial"/>
          <w:color w:val="000000"/>
          <w:sz w:val="21"/>
        </w:rPr>
        <w:t>In this contribution</w:t>
      </w:r>
      <w:r>
        <w:rPr>
          <w:rFonts w:cs="Arial"/>
          <w:color w:val="000000"/>
          <w:sz w:val="21"/>
          <w:lang w:val="en-US"/>
        </w:rPr>
        <w:t>,</w:t>
      </w:r>
      <w:r>
        <w:rPr>
          <w:rFonts w:cs="Arial"/>
          <w:color w:val="000000"/>
          <w:sz w:val="21"/>
        </w:rPr>
        <w:t xml:space="preserve"> we </w:t>
      </w:r>
      <w:r>
        <w:rPr>
          <w:rFonts w:cs="Arial"/>
          <w:color w:val="000000"/>
          <w:sz w:val="21"/>
          <w:lang w:val="en-US"/>
        </w:rPr>
        <w:t xml:space="preserve">will further </w:t>
      </w:r>
      <w:r>
        <w:rPr>
          <w:rFonts w:cs="Arial"/>
          <w:color w:val="000000"/>
          <w:sz w:val="21"/>
        </w:rPr>
        <w:t xml:space="preserve">discuss </w:t>
      </w:r>
      <w:r>
        <w:rPr>
          <w:rFonts w:cs="Arial"/>
          <w:color w:val="000000"/>
          <w:sz w:val="21"/>
          <w:lang w:val="en-US"/>
        </w:rPr>
        <w:t xml:space="preserve">the remaining issue of </w:t>
      </w:r>
      <w:r>
        <w:rPr>
          <w:rFonts w:cs="Arial"/>
          <w:color w:val="000000"/>
          <w:sz w:val="21"/>
        </w:rPr>
        <w:t xml:space="preserve">UE feedback enhancements for XR capacity. </w:t>
      </w:r>
    </w:p>
    <w:p w14:paraId="624E5BA2" w14:textId="77777777" w:rsidR="00E557EF"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BSR reporting enhancements</w:t>
      </w:r>
    </w:p>
    <w:p w14:paraId="731E3DD9" w14:textId="77777777" w:rsidR="00E557EF" w:rsidRDefault="00000000">
      <w:pPr>
        <w:rPr>
          <w:lang w:val="en-US" w:eastAsia="zh-CN"/>
        </w:rPr>
      </w:pPr>
      <w:r>
        <w:rPr>
          <w:rFonts w:hint="eastAsia"/>
          <w:lang w:val="en-US" w:eastAsia="zh-CN"/>
        </w:rPr>
        <w:t xml:space="preserve">For XR service with jitter, dynamic scheduling is necessary.  Since the UL dynamic scheduling depends on the BSR reporting from UE, the accuracy of </w:t>
      </w:r>
      <w:r>
        <w:rPr>
          <w:lang w:val="en-US"/>
        </w:rPr>
        <w:t xml:space="preserve">buffer status </w:t>
      </w:r>
      <w:r>
        <w:rPr>
          <w:rFonts w:hint="eastAsia"/>
          <w:lang w:val="en-US" w:eastAsia="zh-CN"/>
        </w:rPr>
        <w:t xml:space="preserve">level reported impacts the resource scheduling efficiency. </w:t>
      </w:r>
      <w:r>
        <w:rPr>
          <w:lang w:val="en-US"/>
        </w:rPr>
        <w:t xml:space="preserve">The more accurate the report is, the more efficiently resources can be used which results in </w:t>
      </w:r>
      <w:proofErr w:type="gramStart"/>
      <w:r>
        <w:rPr>
          <w:rFonts w:hint="eastAsia"/>
          <w:lang w:val="en-US" w:eastAsia="zh-CN"/>
        </w:rPr>
        <w:t>less</w:t>
      </w:r>
      <w:proofErr w:type="gramEnd"/>
      <w:r>
        <w:rPr>
          <w:rFonts w:hint="eastAsia"/>
          <w:lang w:val="en-US" w:eastAsia="zh-CN"/>
        </w:rPr>
        <w:t xml:space="preserve"> padding bits, </w:t>
      </w:r>
      <w:r>
        <w:rPr>
          <w:lang w:val="en-US"/>
        </w:rPr>
        <w:t xml:space="preserve">lower </w:t>
      </w:r>
      <w:r>
        <w:rPr>
          <w:rFonts w:hint="eastAsia"/>
          <w:lang w:val="en-US" w:eastAsia="zh-CN"/>
        </w:rPr>
        <w:t>scheduling</w:t>
      </w:r>
      <w:r>
        <w:rPr>
          <w:lang w:val="en-US"/>
        </w:rPr>
        <w:t xml:space="preserve"> delays and higher XR capacities</w:t>
      </w:r>
      <w:r>
        <w:rPr>
          <w:rFonts w:hint="eastAsia"/>
          <w:lang w:val="en-US" w:eastAsia="zh-CN"/>
        </w:rPr>
        <w:t>.</w:t>
      </w:r>
    </w:p>
    <w:p w14:paraId="6A37B287" w14:textId="02F6E39B" w:rsidR="00E557EF" w:rsidRDefault="00000000">
      <w:pPr>
        <w:rPr>
          <w:lang w:val="en-US"/>
        </w:rPr>
      </w:pPr>
      <w:r>
        <w:rPr>
          <w:rFonts w:hint="eastAsia"/>
          <w:lang w:val="en-US" w:eastAsia="zh-CN"/>
        </w:rPr>
        <w:t>In the current specification, there are t</w:t>
      </w:r>
      <w:r>
        <w:rPr>
          <w:lang w:val="en-US"/>
        </w:rPr>
        <w:t xml:space="preserve">wo tables which are used by the UE </w:t>
      </w:r>
      <w:r>
        <w:rPr>
          <w:rFonts w:hint="eastAsia"/>
          <w:lang w:val="en-US" w:eastAsia="zh-CN"/>
        </w:rPr>
        <w:t>for BSR reporting: o</w:t>
      </w:r>
      <w:r>
        <w:rPr>
          <w:lang w:val="en-US"/>
        </w:rPr>
        <w:t xml:space="preserve">ne table </w:t>
      </w:r>
      <w:r>
        <w:rPr>
          <w:rFonts w:hint="eastAsia"/>
          <w:lang w:val="en-US" w:eastAsia="zh-CN"/>
        </w:rPr>
        <w:t>is</w:t>
      </w:r>
      <w:r>
        <w:rPr>
          <w:lang w:val="en-US"/>
        </w:rPr>
        <w:t xml:space="preserve"> </w:t>
      </w:r>
      <w:r>
        <w:rPr>
          <w:lang w:eastAsia="ko-KR"/>
        </w:rPr>
        <w:t>5-bit Buffer Size</w:t>
      </w:r>
      <w:r>
        <w:rPr>
          <w:rFonts w:hint="eastAsia"/>
          <w:lang w:val="en-US" w:eastAsia="zh-CN"/>
        </w:rPr>
        <w:t xml:space="preserve"> field </w:t>
      </w:r>
      <w:r>
        <w:rPr>
          <w:lang w:val="en-US"/>
        </w:rPr>
        <w:t xml:space="preserve">used when the short BSR is triggered, and </w:t>
      </w:r>
      <w:r>
        <w:rPr>
          <w:rFonts w:hint="eastAsia"/>
          <w:lang w:val="en-US" w:eastAsia="zh-CN"/>
        </w:rPr>
        <w:t>the</w:t>
      </w:r>
      <w:r>
        <w:rPr>
          <w:lang w:val="en-US"/>
        </w:rPr>
        <w:t xml:space="preserve"> second table is </w:t>
      </w:r>
      <w:r>
        <w:rPr>
          <w:rFonts w:hint="eastAsia"/>
          <w:lang w:val="en-US" w:eastAsia="zh-CN"/>
        </w:rPr>
        <w:t>8</w:t>
      </w:r>
      <w:r>
        <w:rPr>
          <w:lang w:eastAsia="ko-KR"/>
        </w:rPr>
        <w:t>-bit Buffer Size</w:t>
      </w:r>
      <w:r>
        <w:rPr>
          <w:rFonts w:hint="eastAsia"/>
          <w:lang w:val="en-US" w:eastAsia="zh-CN"/>
        </w:rPr>
        <w:t xml:space="preserve"> field </w:t>
      </w:r>
      <w:r>
        <w:rPr>
          <w:lang w:val="en-US"/>
        </w:rPr>
        <w:t xml:space="preserve">used </w:t>
      </w:r>
      <w:r>
        <w:rPr>
          <w:rFonts w:hint="eastAsia"/>
          <w:lang w:val="en-US" w:eastAsia="zh-CN"/>
        </w:rPr>
        <w:t>for</w:t>
      </w:r>
      <w:r>
        <w:rPr>
          <w:lang w:val="en-US"/>
        </w:rPr>
        <w:t xml:space="preserve"> long BSR </w:t>
      </w:r>
      <w:r>
        <w:rPr>
          <w:rFonts w:hint="eastAsia"/>
          <w:lang w:val="en-US" w:eastAsia="zh-CN"/>
        </w:rPr>
        <w:t>reporting</w:t>
      </w:r>
      <w:r>
        <w:rPr>
          <w:lang w:val="en-US"/>
        </w:rPr>
        <w:t xml:space="preserve">. In both tables, the larger the index is, the larger the buffer size value granularity becomes. In other words, the higher the index is, the larger the quantization error becomes. Although there is a RAN2 agreement to introduce new BS table(s) to reduce the </w:t>
      </w:r>
      <w:proofErr w:type="spellStart"/>
      <w:r>
        <w:rPr>
          <w:lang w:val="en-US"/>
        </w:rPr>
        <w:t>quantisation</w:t>
      </w:r>
      <w:proofErr w:type="spellEnd"/>
      <w:r>
        <w:rPr>
          <w:lang w:val="en-US"/>
        </w:rPr>
        <w:t xml:space="preserve"> errors (</w:t>
      </w:r>
      <w:proofErr w:type="gramStart"/>
      <w:r>
        <w:rPr>
          <w:lang w:val="en-US"/>
        </w:rPr>
        <w:t>e.g.</w:t>
      </w:r>
      <w:proofErr w:type="gramEnd"/>
      <w:r>
        <w:rPr>
          <w:lang w:val="en-US"/>
        </w:rPr>
        <w:t xml:space="preserve"> for high bit rates), considering the large value range of BS levels, it is </w:t>
      </w:r>
      <w:r w:rsidR="00AC5A84">
        <w:rPr>
          <w:lang w:val="en-US"/>
        </w:rPr>
        <w:t xml:space="preserve">still not optimal to </w:t>
      </w:r>
      <w:proofErr w:type="spellStart"/>
      <w:r w:rsidR="00AC5A84">
        <w:rPr>
          <w:lang w:val="en-US"/>
        </w:rPr>
        <w:t>minimise</w:t>
      </w:r>
      <w:proofErr w:type="spellEnd"/>
      <w:r>
        <w:rPr>
          <w:lang w:val="en-US"/>
        </w:rPr>
        <w:t xml:space="preserve"> </w:t>
      </w:r>
      <w:r w:rsidR="00AC5A84">
        <w:rPr>
          <w:lang w:val="en-US"/>
        </w:rPr>
        <w:t>quantization</w:t>
      </w:r>
      <w:r>
        <w:rPr>
          <w:lang w:val="en-US"/>
        </w:rPr>
        <w:t xml:space="preserve"> errors. One option to avoid these errors would be to include multiple BSRs for the same LCG. The actual value of the reported BSR is the sum of these BSR values. With this approach, the UL buffer size with a very fine granularity can be reported by the UE, improving the overall scheduling efficiency. Based on the current specification, </w:t>
      </w:r>
      <w:r>
        <w:rPr>
          <w:lang w:val="en-US" w:eastAsia="ko-KR"/>
        </w:rPr>
        <w:t>a</w:t>
      </w:r>
      <w:r>
        <w:rPr>
          <w:lang w:eastAsia="ko-KR"/>
        </w:rPr>
        <w:t xml:space="preserve"> MAC PDU shall contain at most one BSR MAC CE</w:t>
      </w:r>
      <w:r>
        <w:rPr>
          <w:lang w:val="en-US" w:eastAsia="ko-KR"/>
        </w:rPr>
        <w:t xml:space="preserve">. To report the </w:t>
      </w:r>
      <w:r>
        <w:rPr>
          <w:lang w:val="en-US" w:eastAsia="ko-KR"/>
        </w:rPr>
        <w:lastRenderedPageBreak/>
        <w:t>buffer size level more accurately, it should</w:t>
      </w:r>
      <w:r>
        <w:rPr>
          <w:rFonts w:hint="eastAsia"/>
          <w:lang w:val="en-US" w:eastAsia="zh-CN"/>
        </w:rPr>
        <w:t xml:space="preserve"> be </w:t>
      </w:r>
      <w:r>
        <w:rPr>
          <w:lang w:val="en-US" w:eastAsia="ko-KR"/>
        </w:rPr>
        <w:t xml:space="preserve">allowed that a </w:t>
      </w:r>
      <w:r>
        <w:rPr>
          <w:lang w:eastAsia="ko-KR"/>
        </w:rPr>
        <w:t xml:space="preserve">MAC PDU contains </w:t>
      </w:r>
      <w:r>
        <w:rPr>
          <w:lang w:val="en-US" w:eastAsia="ko-KR"/>
        </w:rPr>
        <w:t>more than</w:t>
      </w:r>
      <w:r>
        <w:rPr>
          <w:lang w:eastAsia="ko-KR"/>
        </w:rPr>
        <w:t xml:space="preserve"> one BSR MAC CEs</w:t>
      </w:r>
      <w:r>
        <w:rPr>
          <w:lang w:val="en-US" w:eastAsia="ko-KR"/>
        </w:rPr>
        <w:t xml:space="preserve"> with same LCG, and the reported buffer size of the LCG equals to the sum of buffer size indicated by each BSR MAC CE for that LCG in the MAC PDU.  </w:t>
      </w:r>
    </w:p>
    <w:p w14:paraId="75C8D941" w14:textId="77777777" w:rsidR="00E557EF" w:rsidRDefault="00000000">
      <w:pPr>
        <w:rPr>
          <w:b/>
          <w:bCs/>
          <w:lang w:val="en-US"/>
        </w:rPr>
      </w:pPr>
      <w:r>
        <w:rPr>
          <w:b/>
          <w:bCs/>
          <w:lang w:val="en-US"/>
        </w:rPr>
        <w:t>Proposal 1: To enable finer granularity for BSR, more than one BSR MAC CE for same LCG can be included in one MAC PDU and the actual buffer size value is calculated using all the BSR MAC CEs for the same LCG included in the MAC PDU.</w:t>
      </w:r>
    </w:p>
    <w:p w14:paraId="35438840" w14:textId="77777777" w:rsidR="00E557EF" w:rsidRDefault="00000000">
      <w:pPr>
        <w:rPr>
          <w:lang w:val="en-US" w:eastAsia="ko-KR"/>
        </w:rPr>
      </w:pPr>
      <w:r>
        <w:rPr>
          <w:lang w:val="en-US" w:eastAsia="zh-CN"/>
        </w:rPr>
        <w:t>Considering that</w:t>
      </w:r>
      <w:r>
        <w:rPr>
          <w:rFonts w:hint="eastAsia"/>
          <w:lang w:val="en-US" w:eastAsia="zh-CN"/>
        </w:rPr>
        <w:t xml:space="preserve"> the table with 8</w:t>
      </w:r>
      <w:r>
        <w:rPr>
          <w:lang w:eastAsia="ko-KR"/>
        </w:rPr>
        <w:t>-bit Buffer Size</w:t>
      </w:r>
      <w:r>
        <w:rPr>
          <w:rFonts w:hint="eastAsia"/>
          <w:lang w:val="en-US" w:eastAsia="zh-CN"/>
        </w:rPr>
        <w:t xml:space="preserve"> field can indicate finer granularity and larger range of buffer size level than the table with 5</w:t>
      </w:r>
      <w:r>
        <w:rPr>
          <w:lang w:eastAsia="ko-KR"/>
        </w:rPr>
        <w:t>-bit Buffer Size</w:t>
      </w:r>
      <w:r>
        <w:rPr>
          <w:rFonts w:hint="eastAsia"/>
          <w:lang w:val="en-US" w:eastAsia="zh-CN"/>
        </w:rPr>
        <w:t xml:space="preserve"> field</w:t>
      </w:r>
      <w:r>
        <w:rPr>
          <w:lang w:val="en-US" w:eastAsia="zh-CN"/>
        </w:rPr>
        <w:t xml:space="preserve">, </w:t>
      </w:r>
      <w:r>
        <w:rPr>
          <w:lang w:val="en-US" w:eastAsia="ko-KR"/>
        </w:rPr>
        <w:t xml:space="preserve">to report more accurate buffer size level when only </w:t>
      </w:r>
      <w:r>
        <w:rPr>
          <w:lang w:eastAsia="ko-KR"/>
        </w:rPr>
        <w:t>one LCG has data available for transmission</w:t>
      </w:r>
      <w:r>
        <w:rPr>
          <w:lang w:val="en-US" w:eastAsia="ko-KR"/>
        </w:rPr>
        <w:t xml:space="preserve">, long BSR should be used. </w:t>
      </w:r>
      <w:r>
        <w:rPr>
          <w:lang w:val="en-US" w:eastAsia="zh-CN"/>
        </w:rPr>
        <w:t>But b</w:t>
      </w:r>
      <w:r>
        <w:rPr>
          <w:rFonts w:hint="eastAsia"/>
          <w:lang w:val="en-US" w:eastAsia="zh-CN"/>
        </w:rPr>
        <w:t xml:space="preserve">ased on </w:t>
      </w:r>
      <w:r>
        <w:rPr>
          <w:lang w:val="en-US" w:eastAsia="zh-CN"/>
        </w:rPr>
        <w:t xml:space="preserve">the current specification, Long </w:t>
      </w:r>
      <w:proofErr w:type="gramStart"/>
      <w:r>
        <w:rPr>
          <w:lang w:val="en-US" w:eastAsia="zh-CN"/>
        </w:rPr>
        <w:t>BSR(</w:t>
      </w:r>
      <w:proofErr w:type="gramEnd"/>
      <w:r>
        <w:rPr>
          <w:lang w:val="en-US" w:eastAsia="zh-CN"/>
        </w:rPr>
        <w:t xml:space="preserve">e.g. use the table with </w:t>
      </w:r>
      <w:r>
        <w:rPr>
          <w:rFonts w:hint="eastAsia"/>
          <w:lang w:val="en-US" w:eastAsia="zh-CN"/>
        </w:rPr>
        <w:t>8</w:t>
      </w:r>
      <w:r>
        <w:rPr>
          <w:lang w:eastAsia="ko-KR"/>
        </w:rPr>
        <w:t>-bit Buffer Size</w:t>
      </w:r>
      <w:r>
        <w:rPr>
          <w:rFonts w:hint="eastAsia"/>
          <w:lang w:val="en-US" w:eastAsia="zh-CN"/>
        </w:rPr>
        <w:t xml:space="preserve"> field</w:t>
      </w:r>
      <w:r>
        <w:rPr>
          <w:lang w:val="en-US" w:eastAsia="zh-CN"/>
        </w:rPr>
        <w:t xml:space="preserve">) can be reported only when more than </w:t>
      </w:r>
      <w:r>
        <w:rPr>
          <w:lang w:eastAsia="ko-KR"/>
        </w:rPr>
        <w:t>one LCG has data available for transmission</w:t>
      </w:r>
      <w:r>
        <w:rPr>
          <w:lang w:val="en-US" w:eastAsia="ko-KR"/>
        </w:rPr>
        <w:t xml:space="preserve">. </w:t>
      </w:r>
    </w:p>
    <w:p w14:paraId="7ACEDFFB" w14:textId="77777777" w:rsidR="00E557EF" w:rsidRDefault="00000000">
      <w:pPr>
        <w:rPr>
          <w:b/>
          <w:bCs/>
          <w:lang w:val="en-US" w:eastAsia="ko-KR"/>
        </w:rPr>
      </w:pPr>
      <w:r>
        <w:rPr>
          <w:b/>
          <w:bCs/>
          <w:lang w:val="en-US" w:eastAsia="ko-KR"/>
        </w:rPr>
        <w:t xml:space="preserve">Proposal 2: RAN2 should specify mechanisms to enable </w:t>
      </w:r>
      <w:r>
        <w:rPr>
          <w:b/>
          <w:bCs/>
          <w:lang w:val="en-US" w:eastAsia="zh-CN"/>
        </w:rPr>
        <w:t xml:space="preserve">Long BSR to be reported even if only </w:t>
      </w:r>
      <w:r>
        <w:rPr>
          <w:b/>
          <w:bCs/>
          <w:lang w:eastAsia="ko-KR"/>
        </w:rPr>
        <w:t>one LCG has data available for transmission</w:t>
      </w:r>
      <w:r>
        <w:rPr>
          <w:b/>
          <w:bCs/>
          <w:lang w:val="en-US" w:eastAsia="ko-KR"/>
        </w:rPr>
        <w:t>.</w:t>
      </w:r>
    </w:p>
    <w:p w14:paraId="6D738D20" w14:textId="77777777" w:rsidR="00E557EF" w:rsidRDefault="00000000">
      <w:pPr>
        <w:rPr>
          <w:lang w:val="en-US" w:eastAsia="ko-KR"/>
        </w:rPr>
      </w:pPr>
      <w:r>
        <w:rPr>
          <w:lang w:val="en-US" w:eastAsia="zh-CN"/>
        </w:rPr>
        <w:t>Considering XR service may usually lead large</w:t>
      </w:r>
      <w:r>
        <w:rPr>
          <w:lang w:val="en-US" w:eastAsia="ko-KR"/>
        </w:rPr>
        <w:t xml:space="preserve"> Buffer size, but the</w:t>
      </w:r>
      <w:r>
        <w:rPr>
          <w:lang w:val="en-US"/>
        </w:rPr>
        <w:t xml:space="preserve"> buffer size value granularity of the table with </w:t>
      </w:r>
      <w:r>
        <w:rPr>
          <w:rFonts w:hint="eastAsia"/>
          <w:lang w:val="en-US" w:eastAsia="zh-CN"/>
        </w:rPr>
        <w:t>8</w:t>
      </w:r>
      <w:r>
        <w:rPr>
          <w:lang w:eastAsia="ko-KR"/>
        </w:rPr>
        <w:t>-bit Buffer Size</w:t>
      </w:r>
      <w:r>
        <w:rPr>
          <w:rFonts w:hint="eastAsia"/>
          <w:lang w:val="en-US" w:eastAsia="zh-CN"/>
        </w:rPr>
        <w:t xml:space="preserve"> field</w:t>
      </w:r>
      <w:r>
        <w:rPr>
          <w:lang w:val="en-US"/>
        </w:rPr>
        <w:t xml:space="preserve"> is very large when the </w:t>
      </w:r>
      <w:r>
        <w:rPr>
          <w:lang w:val="en-US" w:eastAsia="ko-KR"/>
        </w:rPr>
        <w:t xml:space="preserve">buffer size is large. For more accurate buffer size reporting, it may also be necessary to introduce a new buffer size table with </w:t>
      </w:r>
      <w:r>
        <w:rPr>
          <w:rFonts w:hint="eastAsia"/>
          <w:lang w:val="en-US" w:eastAsia="zh-CN"/>
        </w:rPr>
        <w:t>8</w:t>
      </w:r>
      <w:r>
        <w:rPr>
          <w:lang w:eastAsia="ko-KR"/>
        </w:rPr>
        <w:t>-bit Buffer Size</w:t>
      </w:r>
      <w:r>
        <w:rPr>
          <w:rFonts w:hint="eastAsia"/>
          <w:lang w:val="en-US" w:eastAsia="zh-CN"/>
        </w:rPr>
        <w:t xml:space="preserve"> field</w:t>
      </w:r>
      <w:r>
        <w:rPr>
          <w:lang w:val="en-US" w:eastAsia="zh-CN"/>
        </w:rPr>
        <w:t xml:space="preserve"> </w:t>
      </w:r>
      <w:r>
        <w:rPr>
          <w:lang w:val="en-US" w:eastAsia="ko-KR"/>
        </w:rPr>
        <w:t>for the large buffer size range. Once a new buffer size table is introduced, how to identify whether the new buffer size table or the old buffer size table is used should be considered. Usually, there are two options:</w:t>
      </w:r>
    </w:p>
    <w:p w14:paraId="04FA0907" w14:textId="77777777" w:rsidR="00E557EF" w:rsidRDefault="00000000">
      <w:pPr>
        <w:ind w:left="945" w:hangingChars="450" w:hanging="945"/>
        <w:rPr>
          <w:lang w:val="en-US" w:eastAsia="ko-KR"/>
        </w:rPr>
      </w:pPr>
      <w:r>
        <w:rPr>
          <w:lang w:val="en-US" w:eastAsia="ko-KR"/>
        </w:rPr>
        <w:t xml:space="preserve">Option 1: UE report </w:t>
      </w:r>
      <w:proofErr w:type="spellStart"/>
      <w:proofErr w:type="gramStart"/>
      <w:r>
        <w:rPr>
          <w:lang w:val="en-US" w:eastAsia="ko-KR"/>
        </w:rPr>
        <w:t>it’s</w:t>
      </w:r>
      <w:proofErr w:type="spellEnd"/>
      <w:proofErr w:type="gramEnd"/>
      <w:r>
        <w:rPr>
          <w:lang w:val="en-US" w:eastAsia="ko-KR"/>
        </w:rPr>
        <w:t xml:space="preserve"> new table supporting capability, and </w:t>
      </w:r>
      <w:proofErr w:type="spellStart"/>
      <w:r>
        <w:rPr>
          <w:lang w:val="en-US" w:eastAsia="ko-KR"/>
        </w:rPr>
        <w:t>gNB</w:t>
      </w:r>
      <w:proofErr w:type="spellEnd"/>
      <w:r>
        <w:rPr>
          <w:lang w:val="en-US" w:eastAsia="ko-KR"/>
        </w:rPr>
        <w:t xml:space="preserve"> configures whether the new table or the old table is used.</w:t>
      </w:r>
    </w:p>
    <w:p w14:paraId="07390386" w14:textId="77777777" w:rsidR="00E557EF" w:rsidRDefault="00000000">
      <w:pPr>
        <w:ind w:left="945" w:hangingChars="450" w:hanging="945"/>
        <w:rPr>
          <w:lang w:val="en-US" w:eastAsia="ko-KR"/>
        </w:rPr>
      </w:pPr>
      <w:r>
        <w:rPr>
          <w:lang w:val="en-US" w:eastAsia="ko-KR"/>
        </w:rPr>
        <w:t xml:space="preserve">Option 2: </w:t>
      </w:r>
      <w:proofErr w:type="spellStart"/>
      <w:r>
        <w:rPr>
          <w:lang w:val="en-US" w:eastAsia="ko-KR"/>
        </w:rPr>
        <w:t>gNB</w:t>
      </w:r>
      <w:proofErr w:type="spellEnd"/>
      <w:r>
        <w:rPr>
          <w:lang w:val="en-US" w:eastAsia="ko-KR"/>
        </w:rPr>
        <w:t xml:space="preserve"> indicate </w:t>
      </w:r>
      <w:proofErr w:type="gramStart"/>
      <w:r>
        <w:rPr>
          <w:lang w:val="en-US" w:eastAsia="ko-KR"/>
        </w:rPr>
        <w:t>it’s</w:t>
      </w:r>
      <w:proofErr w:type="gramEnd"/>
      <w:r>
        <w:rPr>
          <w:lang w:val="en-US" w:eastAsia="ko-KR"/>
        </w:rPr>
        <w:t xml:space="preserve"> new table supporting capability, and UE differentiate whether the new table or the old table is used by UL LC ID.</w:t>
      </w:r>
    </w:p>
    <w:p w14:paraId="3148E513" w14:textId="77777777" w:rsidR="00E557EF" w:rsidRDefault="00000000">
      <w:pPr>
        <w:rPr>
          <w:b/>
          <w:bCs/>
          <w:lang w:val="en-US" w:eastAsia="ko-KR"/>
        </w:rPr>
      </w:pPr>
      <w:r>
        <w:rPr>
          <w:lang w:val="en-US" w:eastAsia="ko-KR"/>
        </w:rPr>
        <w:t xml:space="preserve">Considering that option 2 is more flexible, </w:t>
      </w:r>
      <w:proofErr w:type="gramStart"/>
      <w:r>
        <w:rPr>
          <w:lang w:val="en-US" w:eastAsia="ko-KR"/>
        </w:rPr>
        <w:t>e.g.</w:t>
      </w:r>
      <w:proofErr w:type="gramEnd"/>
      <w:r>
        <w:rPr>
          <w:lang w:val="en-US" w:eastAsia="ko-KR"/>
        </w:rPr>
        <w:t xml:space="preserve"> UE can decide whether the new table or the old table is used based on the buffer size to be reported, we suggest to use option 2 for the new table identification.</w:t>
      </w:r>
      <w:r>
        <w:rPr>
          <w:lang w:val="en-US" w:eastAsia="ko-KR"/>
        </w:rPr>
        <w:br/>
      </w:r>
      <w:r>
        <w:rPr>
          <w:b/>
          <w:bCs/>
          <w:lang w:val="en-US" w:eastAsia="ko-KR"/>
        </w:rPr>
        <w:t xml:space="preserve">Proposal 3: A new buffer size table with </w:t>
      </w:r>
      <w:r>
        <w:rPr>
          <w:rFonts w:hint="eastAsia"/>
          <w:b/>
          <w:bCs/>
          <w:lang w:val="en-US" w:eastAsia="zh-CN"/>
        </w:rPr>
        <w:t>8</w:t>
      </w:r>
      <w:r>
        <w:rPr>
          <w:b/>
          <w:bCs/>
          <w:lang w:val="en-US" w:eastAsia="ko-KR"/>
        </w:rPr>
        <w:t>-bit Buffer Size</w:t>
      </w:r>
      <w:r>
        <w:rPr>
          <w:rFonts w:hint="eastAsia"/>
          <w:b/>
          <w:bCs/>
          <w:lang w:val="en-US" w:eastAsia="zh-CN"/>
        </w:rPr>
        <w:t xml:space="preserve"> field</w:t>
      </w:r>
      <w:r>
        <w:rPr>
          <w:b/>
          <w:bCs/>
          <w:lang w:val="en-US" w:eastAsia="zh-CN"/>
        </w:rPr>
        <w:t xml:space="preserve"> is introduced </w:t>
      </w:r>
      <w:r>
        <w:rPr>
          <w:b/>
          <w:bCs/>
          <w:lang w:val="en-US" w:eastAsia="ko-KR"/>
        </w:rPr>
        <w:t>for the large buffer size range.</w:t>
      </w:r>
    </w:p>
    <w:p w14:paraId="5488E8FC" w14:textId="77777777" w:rsidR="00E557EF" w:rsidRDefault="00000000">
      <w:pPr>
        <w:rPr>
          <w:b/>
          <w:bCs/>
          <w:lang w:val="en-US" w:eastAsia="ko-KR"/>
        </w:rPr>
      </w:pPr>
      <w:r>
        <w:rPr>
          <w:b/>
          <w:bCs/>
          <w:lang w:val="en-US" w:eastAsia="ko-KR"/>
        </w:rPr>
        <w:t xml:space="preserve">Proposal 3a: </w:t>
      </w:r>
      <w:proofErr w:type="spellStart"/>
      <w:r>
        <w:rPr>
          <w:b/>
          <w:bCs/>
          <w:lang w:val="en-US" w:eastAsia="ko-KR"/>
        </w:rPr>
        <w:t>gNB</w:t>
      </w:r>
      <w:proofErr w:type="spellEnd"/>
      <w:r>
        <w:rPr>
          <w:b/>
          <w:bCs/>
          <w:lang w:val="en-US" w:eastAsia="ko-KR"/>
        </w:rPr>
        <w:t xml:space="preserve"> sends an indication to UE to indicate whether it supports the new buffer size table, and UE use a new UL LC ID to indicate whether the new buffer size table is used for the BSR reporting.</w:t>
      </w:r>
    </w:p>
    <w:p w14:paraId="235EF8A5" w14:textId="77777777" w:rsidR="00E557EF" w:rsidRDefault="00000000">
      <w:pPr>
        <w:rPr>
          <w:lang w:val="en-US" w:eastAsia="ko-KR"/>
        </w:rPr>
      </w:pPr>
      <w:r>
        <w:rPr>
          <w:lang w:val="en-US" w:eastAsia="ko-KR"/>
        </w:rPr>
        <w:t>For dynamic scheduling for UL periodic XR service with jitter, BSR reporting. How to allocate the UL grant for the BSR reporting when the burst arriv</w:t>
      </w:r>
      <w:r>
        <w:rPr>
          <w:rFonts w:hint="eastAsia"/>
          <w:lang w:val="en-US" w:eastAsia="zh-CN"/>
        </w:rPr>
        <w:t>al</w:t>
      </w:r>
      <w:r>
        <w:rPr>
          <w:lang w:val="en-US" w:eastAsia="ko-KR"/>
        </w:rPr>
        <w:t xml:space="preserve"> should be considered. </w:t>
      </w:r>
      <w:proofErr w:type="gramStart"/>
      <w:r>
        <w:rPr>
          <w:lang w:val="en-US" w:eastAsia="ko-KR"/>
        </w:rPr>
        <w:t>Usually</w:t>
      </w:r>
      <w:proofErr w:type="gramEnd"/>
      <w:r>
        <w:rPr>
          <w:lang w:val="en-US" w:eastAsia="ko-KR"/>
        </w:rPr>
        <w:t xml:space="preserve"> SR will be triggered firstly for BSR reporting. But based on the SR </w:t>
      </w:r>
      <w:proofErr w:type="gramStart"/>
      <w:r>
        <w:rPr>
          <w:lang w:val="en-US" w:eastAsia="ko-KR"/>
        </w:rPr>
        <w:t>procedure(</w:t>
      </w:r>
      <w:proofErr w:type="gramEnd"/>
      <w:r>
        <w:rPr>
          <w:lang w:val="en-US" w:eastAsia="ko-KR"/>
        </w:rPr>
        <w:t>e.g. SR reporting--&gt;PDCCH with UL grant for BSR--&gt;BSR reporting--&gt;PDCCH with UL grant for data transmission--&gt;UL data transmission), the service delay will be large. In RAN1#109 meeting, the following agreement has been made:</w:t>
      </w:r>
    </w:p>
    <w:tbl>
      <w:tblPr>
        <w:tblStyle w:val="TableGrid"/>
        <w:tblW w:w="0" w:type="auto"/>
        <w:tblLook w:val="04A0" w:firstRow="1" w:lastRow="0" w:firstColumn="1" w:lastColumn="0" w:noHBand="0" w:noVBand="1"/>
      </w:tblPr>
      <w:tblGrid>
        <w:gridCol w:w="9771"/>
      </w:tblGrid>
      <w:tr w:rsidR="00E557EF" w14:paraId="7C709F6D" w14:textId="77777777">
        <w:tc>
          <w:tcPr>
            <w:tcW w:w="9997" w:type="dxa"/>
          </w:tcPr>
          <w:p w14:paraId="0D759767" w14:textId="77777777" w:rsidR="00E557EF" w:rsidRDefault="00000000">
            <w:pPr>
              <w:rPr>
                <w:rFonts w:cs="Times"/>
                <w:b/>
                <w:bCs/>
                <w:szCs w:val="20"/>
                <w:highlight w:val="green"/>
                <w:lang w:val="en-US"/>
              </w:rPr>
            </w:pPr>
            <w:r>
              <w:rPr>
                <w:rFonts w:cs="Times"/>
                <w:b/>
                <w:bCs/>
                <w:szCs w:val="20"/>
                <w:highlight w:val="green"/>
                <w:lang w:val="en-US"/>
              </w:rPr>
              <w:t>Agreement</w:t>
            </w:r>
          </w:p>
          <w:p w14:paraId="733E0C80" w14:textId="77777777" w:rsidR="00E557EF" w:rsidRDefault="00000000">
            <w:pPr>
              <w:pStyle w:val="NormalWeb"/>
              <w:spacing w:before="0" w:beforeAutospacing="0" w:after="0" w:afterAutospacing="0"/>
              <w:rPr>
                <w:rFonts w:ascii="Times" w:hAnsi="Times" w:cs="Times"/>
                <w:sz w:val="20"/>
                <w:szCs w:val="20"/>
              </w:rPr>
            </w:pPr>
            <w:r>
              <w:rPr>
                <w:rFonts w:ascii="Times" w:hAnsi="Times" w:cs="Times"/>
                <w:sz w:val="20"/>
                <w:szCs w:val="20"/>
              </w:rPr>
              <w:lastRenderedPageBreak/>
              <w:t>When DG is used as the baseline scheme, for the performance evaluation scheduling, after SR is triggered, both BSR and UL data can be transmitted using the UL grant after SR.</w:t>
            </w:r>
          </w:p>
          <w:p w14:paraId="2E7292A5" w14:textId="77777777" w:rsidR="00E557EF" w:rsidRDefault="00000000">
            <w:pPr>
              <w:pStyle w:val="NormalWeb"/>
              <w:numPr>
                <w:ilvl w:val="0"/>
                <w:numId w:val="7"/>
              </w:numPr>
              <w:spacing w:before="0" w:beforeAutospacing="0" w:after="0" w:afterAutospacing="0"/>
              <w:jc w:val="both"/>
              <w:rPr>
                <w:lang w:val="en-US" w:eastAsia="ko-KR"/>
              </w:rPr>
            </w:pPr>
            <w:r>
              <w:rPr>
                <w:rFonts w:ascii="Times" w:hAnsi="Times" w:cs="Times"/>
                <w:sz w:val="20"/>
                <w:szCs w:val="20"/>
              </w:rPr>
              <w:t>Companies are encouraged to provide the size of resources by the first UL grant after SR</w:t>
            </w:r>
          </w:p>
        </w:tc>
      </w:tr>
    </w:tbl>
    <w:p w14:paraId="07A1107D" w14:textId="77777777" w:rsidR="00E557EF" w:rsidRDefault="00000000">
      <w:pPr>
        <w:rPr>
          <w:lang w:val="en-US" w:eastAsia="ko-KR"/>
        </w:rPr>
      </w:pPr>
      <w:r>
        <w:rPr>
          <w:lang w:val="en-US" w:eastAsia="ko-KR"/>
        </w:rPr>
        <w:lastRenderedPageBreak/>
        <w:t>But the XR frame may always change, and UE and/or AMF may only predict and provide the least size of PDU set, it is impossible to predict the size for each PDU size. Thus, multiple UL data transmission</w:t>
      </w:r>
      <w:r>
        <w:rPr>
          <w:rFonts w:hint="eastAsia"/>
          <w:lang w:val="en-US" w:eastAsia="zh-CN"/>
        </w:rPr>
        <w:t>s</w:t>
      </w:r>
      <w:r>
        <w:rPr>
          <w:lang w:val="en-US" w:eastAsia="ko-KR"/>
        </w:rPr>
        <w:t xml:space="preserve"> will be inevitable, which may lead large delay for the PDU set transmission. If the </w:t>
      </w:r>
      <w:proofErr w:type="spellStart"/>
      <w:r>
        <w:rPr>
          <w:lang w:val="en-US" w:eastAsia="ko-KR"/>
        </w:rPr>
        <w:t>gNB</w:t>
      </w:r>
      <w:proofErr w:type="spellEnd"/>
      <w:r>
        <w:rPr>
          <w:lang w:val="en-US" w:eastAsia="ko-KR"/>
        </w:rPr>
        <w:t xml:space="preserve"> can obtain the buffer size accurately before the first UL grant, the scheduling efficiency will be improved. To cater </w:t>
      </w:r>
      <w:r>
        <w:rPr>
          <w:rFonts w:hint="eastAsia"/>
          <w:lang w:val="en-US" w:eastAsia="zh-CN"/>
        </w:rPr>
        <w:t xml:space="preserve">for </w:t>
      </w:r>
      <w:r>
        <w:rPr>
          <w:lang w:val="en-US" w:eastAsia="ko-KR"/>
        </w:rPr>
        <w:t xml:space="preserve">the periodic XR traffic with jitter, C-DRX is usually configured and the UL burst may only arrive during the DRX on-duration time. If periodic UL </w:t>
      </w:r>
      <w:proofErr w:type="gramStart"/>
      <w:r>
        <w:rPr>
          <w:lang w:val="en-US" w:eastAsia="ko-KR"/>
        </w:rPr>
        <w:t>resource(</w:t>
      </w:r>
      <w:proofErr w:type="gramEnd"/>
      <w:r>
        <w:rPr>
          <w:lang w:val="en-US" w:eastAsia="ko-KR"/>
        </w:rPr>
        <w:t xml:space="preserve">e.g. CG) for BSR reporting is configured during the DRX on-duration time, UE can report the buffer size in time, which can avoid the SR procedure and improve the UL scheduling efficiency. Since the UE will not report BSR outside the DRX on-duration, the periodic UL </w:t>
      </w:r>
      <w:proofErr w:type="gramStart"/>
      <w:r>
        <w:rPr>
          <w:lang w:val="en-US" w:eastAsia="ko-KR"/>
        </w:rPr>
        <w:t>resource(</w:t>
      </w:r>
      <w:proofErr w:type="gramEnd"/>
      <w:r>
        <w:rPr>
          <w:lang w:val="en-US" w:eastAsia="ko-KR"/>
        </w:rPr>
        <w:t>e.g. CG) for BSR reporting should only be valid during the DRX on-duration time.</w:t>
      </w:r>
    </w:p>
    <w:p w14:paraId="49023080" w14:textId="77777777" w:rsidR="00E557EF" w:rsidRDefault="00000000">
      <w:pPr>
        <w:rPr>
          <w:b/>
          <w:bCs/>
          <w:lang w:val="en-US" w:eastAsia="ko-KR"/>
        </w:rPr>
      </w:pPr>
      <w:r>
        <w:rPr>
          <w:b/>
          <w:bCs/>
          <w:lang w:val="en-US" w:eastAsia="ko-KR"/>
        </w:rPr>
        <w:t>Proposal 4: periodic UL resource (</w:t>
      </w:r>
      <w:proofErr w:type="gramStart"/>
      <w:r>
        <w:rPr>
          <w:b/>
          <w:bCs/>
          <w:lang w:val="en-US" w:eastAsia="ko-KR"/>
        </w:rPr>
        <w:t>e.g.</w:t>
      </w:r>
      <w:proofErr w:type="gramEnd"/>
      <w:r>
        <w:rPr>
          <w:b/>
          <w:bCs/>
          <w:lang w:val="en-US" w:eastAsia="ko-KR"/>
        </w:rPr>
        <w:t xml:space="preserve"> CG) for BSR reporting is configured, which is valid only during the DRX on-duration time.</w:t>
      </w:r>
    </w:p>
    <w:p w14:paraId="740B74F7" w14:textId="77777777" w:rsidR="00E557EF" w:rsidRDefault="00000000">
      <w:pPr>
        <w:rPr>
          <w:lang w:val="en-US" w:eastAsia="ko-KR"/>
        </w:rPr>
      </w:pPr>
      <w:r>
        <w:rPr>
          <w:lang w:val="en-US" w:eastAsia="ko-KR"/>
        </w:rPr>
        <w:t>As for the “remaining time” reporting along with BSR, there are the following issues to be considered:</w:t>
      </w:r>
    </w:p>
    <w:p w14:paraId="76931918" w14:textId="77777777" w:rsidR="00E557EF" w:rsidRDefault="00000000">
      <w:pPr>
        <w:numPr>
          <w:ilvl w:val="0"/>
          <w:numId w:val="8"/>
        </w:numPr>
        <w:rPr>
          <w:lang w:val="en-US" w:eastAsia="ko-KR"/>
        </w:rPr>
      </w:pPr>
      <w:r>
        <w:rPr>
          <w:lang w:val="en-US" w:eastAsia="ko-KR"/>
        </w:rPr>
        <w:t xml:space="preserve">UE cannot obtain the PDB and PSDB for the </w:t>
      </w:r>
      <w:proofErr w:type="spellStart"/>
      <w:r>
        <w:rPr>
          <w:lang w:val="en-US" w:eastAsia="ko-KR"/>
        </w:rPr>
        <w:t>the</w:t>
      </w:r>
      <w:proofErr w:type="spellEnd"/>
      <w:r>
        <w:rPr>
          <w:lang w:val="en-US" w:eastAsia="ko-KR"/>
        </w:rPr>
        <w:t xml:space="preserve"> non-Standardized 5QI case. If the “remaining time” is the remaining delay budget, then the PDB and/or PSDB should be provided to UE. One alternative way is to use PDCP </w:t>
      </w:r>
      <w:proofErr w:type="spellStart"/>
      <w:r>
        <w:rPr>
          <w:lang w:val="en-US" w:eastAsia="ko-KR"/>
        </w:rPr>
        <w:t>discardTimer</w:t>
      </w:r>
      <w:proofErr w:type="spellEnd"/>
      <w:r>
        <w:rPr>
          <w:lang w:val="en-US" w:eastAsia="ko-KR"/>
        </w:rPr>
        <w:t xml:space="preserve"> to evaluate the “remaining time”, but the PDCP </w:t>
      </w:r>
      <w:proofErr w:type="spellStart"/>
      <w:r>
        <w:rPr>
          <w:lang w:val="en-US" w:eastAsia="ko-KR"/>
        </w:rPr>
        <w:t>discardTimer</w:t>
      </w:r>
      <w:proofErr w:type="spellEnd"/>
      <w:r>
        <w:rPr>
          <w:lang w:val="en-US" w:eastAsia="ko-KR"/>
        </w:rPr>
        <w:t xml:space="preserve"> is configured per DRB, and the BSR is reported per LCG, thus, more discussion is needed on how UE can obtain a value for the “remaining time”. </w:t>
      </w:r>
    </w:p>
    <w:p w14:paraId="0436A72E" w14:textId="77777777" w:rsidR="00E557EF" w:rsidRDefault="00000000">
      <w:pPr>
        <w:numPr>
          <w:ilvl w:val="0"/>
          <w:numId w:val="8"/>
        </w:numPr>
        <w:rPr>
          <w:lang w:val="en-US" w:eastAsia="ko-KR"/>
        </w:rPr>
      </w:pPr>
      <w:r>
        <w:rPr>
          <w:lang w:val="en-US" w:eastAsia="ko-KR"/>
        </w:rPr>
        <w:t xml:space="preserve">If the BSR is triggered once the PDU arrives at the UE PDCP, the remaining time reporting seems useless and </w:t>
      </w:r>
      <w:proofErr w:type="spellStart"/>
      <w:r>
        <w:rPr>
          <w:lang w:val="en-US" w:eastAsia="ko-KR"/>
        </w:rPr>
        <w:t>gNB</w:t>
      </w:r>
      <w:proofErr w:type="spellEnd"/>
      <w:r>
        <w:rPr>
          <w:lang w:val="en-US" w:eastAsia="ko-KR"/>
        </w:rPr>
        <w:t xml:space="preserve"> can schedule the UL grant based on the PDB, PSDB and priority. If the BSR is not triggered immediately when the PDU arrives at the UE PDCP, there will be different remaining time for different PDUs in the buffer corresponding to the LCG, which may need multiple MAC CEs to report the BSR and remaining time, and will lead large BSR payload. Further, the BSR may not actually be transmitted at the time when it is generated. So, the remaining time should take into account the actual BSR transmission time instance and report the remaining time accordingly. Otherwise, the remaining time reported will be ambiguous</w:t>
      </w:r>
    </w:p>
    <w:p w14:paraId="3FB8541F" w14:textId="77777777" w:rsidR="00E557EF" w:rsidRDefault="00000000">
      <w:pPr>
        <w:numPr>
          <w:ilvl w:val="255"/>
          <w:numId w:val="0"/>
        </w:numPr>
        <w:rPr>
          <w:b/>
          <w:bCs/>
          <w:lang w:val="en-US" w:eastAsia="ko-KR"/>
        </w:rPr>
      </w:pPr>
      <w:r>
        <w:rPr>
          <w:b/>
          <w:bCs/>
          <w:lang w:val="en-US" w:eastAsia="ko-KR"/>
        </w:rPr>
        <w:t>Proposal 5: If “remaining time” is reported along with BSR, further discussion is needed on the BSR overhead and granularity (</w:t>
      </w:r>
      <w:proofErr w:type="gramStart"/>
      <w:r>
        <w:rPr>
          <w:b/>
          <w:bCs/>
          <w:lang w:val="en-US" w:eastAsia="ko-KR"/>
        </w:rPr>
        <w:t>e.g.</w:t>
      </w:r>
      <w:proofErr w:type="gramEnd"/>
      <w:r>
        <w:rPr>
          <w:b/>
          <w:bCs/>
          <w:lang w:val="en-US" w:eastAsia="ko-KR"/>
        </w:rPr>
        <w:t xml:space="preserve"> per LCG/Per LC/Per DRB), accuracy of the reporting (considering the reporting time vs time when the BSR is constructed at the UE).</w:t>
      </w:r>
    </w:p>
    <w:p w14:paraId="1D7FFCE2" w14:textId="77777777" w:rsidR="00E557EF"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b w:val="0"/>
          <w:bCs w:val="0"/>
          <w:kern w:val="0"/>
          <w:sz w:val="32"/>
          <w:szCs w:val="36"/>
          <w:lang w:val="en-US" w:eastAsia="zh-CN"/>
        </w:rPr>
        <w:t>About LS response on XR and Media Services to SA2</w:t>
      </w:r>
    </w:p>
    <w:p w14:paraId="521538DA" w14:textId="77777777" w:rsidR="00E557EF" w:rsidRDefault="00000000">
      <w:pPr>
        <w:rPr>
          <w:lang w:val="en-US"/>
        </w:rPr>
      </w:pPr>
      <w:r>
        <w:rPr>
          <w:lang w:val="en-US" w:eastAsia="ko-KR"/>
        </w:rPr>
        <w:t xml:space="preserve">In the LS </w:t>
      </w:r>
      <w:r>
        <w:rPr>
          <w:rFonts w:hint="eastAsia"/>
        </w:rPr>
        <w:t xml:space="preserve">on XR and Media </w:t>
      </w:r>
      <w:proofErr w:type="gramStart"/>
      <w:r>
        <w:rPr>
          <w:rFonts w:hint="eastAsia"/>
        </w:rPr>
        <w:t>Services</w:t>
      </w:r>
      <w:r>
        <w:rPr>
          <w:lang w:val="en-US"/>
        </w:rPr>
        <w:t>[</w:t>
      </w:r>
      <w:proofErr w:type="gramEnd"/>
      <w:r>
        <w:rPr>
          <w:lang w:val="en-US"/>
        </w:rPr>
        <w:t xml:space="preserve">4], the following questions are provided: </w:t>
      </w:r>
    </w:p>
    <w:tbl>
      <w:tblPr>
        <w:tblStyle w:val="TableGrid"/>
        <w:tblW w:w="0" w:type="auto"/>
        <w:tblLook w:val="04A0" w:firstRow="1" w:lastRow="0" w:firstColumn="1" w:lastColumn="0" w:noHBand="0" w:noVBand="1"/>
      </w:tblPr>
      <w:tblGrid>
        <w:gridCol w:w="9771"/>
      </w:tblGrid>
      <w:tr w:rsidR="00E557EF" w14:paraId="275343DE" w14:textId="77777777">
        <w:tc>
          <w:tcPr>
            <w:tcW w:w="9997" w:type="dxa"/>
          </w:tcPr>
          <w:p w14:paraId="1332D95E" w14:textId="77777777" w:rsidR="00E557EF" w:rsidRDefault="00000000">
            <w:pPr>
              <w:pStyle w:val="B1"/>
              <w:numPr>
                <w:ilvl w:val="0"/>
                <w:numId w:val="9"/>
              </w:numPr>
            </w:pPr>
            <w:r>
              <w:rPr>
                <w:rFonts w:eastAsia="DengXian"/>
                <w:lang w:eastAsia="zh-CN"/>
              </w:rPr>
              <w:t xml:space="preserve">In KI#3 (Network exposure), SA2 has been studying what information is useful for the purpose of enablement of rate adaptation at application and how that can be exposed by 5GS to the server and agreed the conclusions in TR 23.700-60 clause 8 (see </w:t>
            </w:r>
            <w:proofErr w:type="spellStart"/>
            <w:r>
              <w:rPr>
                <w:rFonts w:eastAsia="DengXian"/>
                <w:lang w:eastAsia="zh-CN"/>
              </w:rPr>
              <w:t>pCR</w:t>
            </w:r>
            <w:proofErr w:type="spellEnd"/>
            <w:r>
              <w:rPr>
                <w:rFonts w:eastAsia="DengXian"/>
                <w:lang w:eastAsia="zh-CN"/>
              </w:rPr>
              <w:t xml:space="preserve"> S2-2209977 and S2-2209978). The purpose of rate adaptation is to reduce the influx of data to keep the buffer/queue length level low which gives low latency.</w:t>
            </w:r>
          </w:p>
          <w:p w14:paraId="20C99A48" w14:textId="77777777" w:rsidR="00E557EF" w:rsidRDefault="00000000">
            <w:pPr>
              <w:pStyle w:val="B1"/>
              <w:ind w:left="720" w:firstLine="0"/>
            </w:pPr>
            <w:r>
              <w:rPr>
                <w:rFonts w:cs="Arial"/>
              </w:rPr>
              <w:lastRenderedPageBreak/>
              <w:t>Two variants of L4S marking are considered: (1) L4S marking in the NG-RAN node and (2) L4S marking by the PSA UPF based on</w:t>
            </w:r>
            <w:r>
              <w:t xml:space="preserve"> information provided by NG-RAN. SA2 would like to ask RAN2 and RAN3 feedback on the following questions:</w:t>
            </w:r>
          </w:p>
          <w:p w14:paraId="7130794C" w14:textId="77777777" w:rsidR="00E557EF" w:rsidRDefault="00000000">
            <w:pPr>
              <w:pStyle w:val="B1"/>
              <w:numPr>
                <w:ilvl w:val="1"/>
                <w:numId w:val="9"/>
              </w:numPr>
              <w:rPr>
                <w:rFonts w:eastAsia="DengXian"/>
                <w:lang w:eastAsia="zh-CN"/>
              </w:rPr>
            </w:pPr>
            <w:r>
              <w:rPr>
                <w:rFonts w:eastAsia="DengXian"/>
                <w:lang w:eastAsia="zh-CN"/>
              </w:rPr>
              <w:t>Q1: whether it is feasible for RAN to estimate congestion information per QoS flow, per DRB in downlink and uplink directions.</w:t>
            </w:r>
          </w:p>
          <w:p w14:paraId="6BAA3AD7" w14:textId="77777777" w:rsidR="00E557EF" w:rsidRDefault="00000000">
            <w:pPr>
              <w:pStyle w:val="B1"/>
              <w:numPr>
                <w:ilvl w:val="1"/>
                <w:numId w:val="9"/>
              </w:numPr>
              <w:rPr>
                <w:rFonts w:eastAsia="DengXian"/>
                <w:lang w:eastAsia="zh-CN"/>
              </w:rPr>
            </w:pPr>
            <w:r>
              <w:rPr>
                <w:rFonts w:eastAsia="DengXian"/>
                <w:lang w:eastAsia="zh-CN"/>
              </w:rPr>
              <w:t>Q2: whether it is feasible for RAN to estimate congestion information per QoS flow in UL, per DRB in UL without UE impacts</w:t>
            </w:r>
            <w:r>
              <w:rPr>
                <w:rFonts w:eastAsia="DengXian"/>
                <w:lang w:val="en-US" w:eastAsia="zh-CN"/>
              </w:rPr>
              <w:t>.</w:t>
            </w:r>
          </w:p>
          <w:p w14:paraId="7CA02909" w14:textId="77777777" w:rsidR="00E557EF" w:rsidRDefault="00E557EF">
            <w:pPr>
              <w:rPr>
                <w:lang w:val="en-US"/>
              </w:rPr>
            </w:pPr>
          </w:p>
        </w:tc>
      </w:tr>
    </w:tbl>
    <w:p w14:paraId="405F7065" w14:textId="77777777" w:rsidR="00E557EF" w:rsidRDefault="00000000">
      <w:pPr>
        <w:rPr>
          <w:rFonts w:eastAsia="DengXian"/>
          <w:lang w:val="en-US" w:eastAsia="zh-CN"/>
        </w:rPr>
      </w:pPr>
      <w:r>
        <w:rPr>
          <w:lang w:val="en-US" w:eastAsia="ko-KR"/>
        </w:rPr>
        <w:lastRenderedPageBreak/>
        <w:t xml:space="preserve">As for the congestion, </w:t>
      </w:r>
      <w:proofErr w:type="spellStart"/>
      <w:r>
        <w:rPr>
          <w:lang w:val="en-US" w:eastAsia="ko-KR"/>
        </w:rPr>
        <w:t>gNB</w:t>
      </w:r>
      <w:proofErr w:type="spellEnd"/>
      <w:r>
        <w:rPr>
          <w:lang w:val="en-US" w:eastAsia="ko-KR"/>
        </w:rPr>
        <w:t xml:space="preserve"> usually decides the cell congestion based on the scheduling delay, user data rate available, cell power output etc. Upon detecting that the cell is in congested state, </w:t>
      </w:r>
      <w:proofErr w:type="spellStart"/>
      <w:r>
        <w:rPr>
          <w:lang w:val="en-US" w:eastAsia="ko-KR"/>
        </w:rPr>
        <w:t>gNB</w:t>
      </w:r>
      <w:proofErr w:type="spellEnd"/>
      <w:r>
        <w:rPr>
          <w:lang w:val="en-US" w:eastAsia="ko-KR"/>
        </w:rPr>
        <w:t xml:space="preserve"> will select UE DRB and/or QoS flow to downgrade the QoS and therefore decrease the cell load. If congestion is detected for a UE/DRB then all QoS flows mapped to the DRB will deemed to be subject to congestion. In which case, the selected UE, DRB and/or QoS flow for QoS downgrading can be considered as in congested state, and </w:t>
      </w:r>
      <w:proofErr w:type="spellStart"/>
      <w:r>
        <w:rPr>
          <w:lang w:val="en-US" w:eastAsia="ko-KR"/>
        </w:rPr>
        <w:t>gNB</w:t>
      </w:r>
      <w:proofErr w:type="spellEnd"/>
      <w:r>
        <w:rPr>
          <w:lang w:val="en-US" w:eastAsia="ko-KR"/>
        </w:rPr>
        <w:t xml:space="preserve"> can notify the UPF or AF to decrease the data rate and/or </w:t>
      </w:r>
      <w:r>
        <w:t>frame rate</w:t>
      </w:r>
      <w:r>
        <w:rPr>
          <w:lang w:val="en-US"/>
        </w:rPr>
        <w:t xml:space="preserve"> </w:t>
      </w:r>
      <w:r>
        <w:rPr>
          <w:lang w:val="en-US" w:eastAsia="ko-KR"/>
        </w:rPr>
        <w:t xml:space="preserve">from application. From this point of view, </w:t>
      </w:r>
      <w:proofErr w:type="spellStart"/>
      <w:r>
        <w:rPr>
          <w:lang w:val="en-US" w:eastAsia="ko-KR"/>
        </w:rPr>
        <w:t>gNB</w:t>
      </w:r>
      <w:proofErr w:type="spellEnd"/>
      <w:r>
        <w:rPr>
          <w:lang w:val="en-US" w:eastAsia="ko-KR"/>
        </w:rPr>
        <w:t xml:space="preserve"> can decide the congestion information </w:t>
      </w:r>
      <w:r>
        <w:rPr>
          <w:rFonts w:eastAsia="DengXian"/>
          <w:lang w:eastAsia="zh-CN"/>
        </w:rPr>
        <w:t>per QoS flow, per DRB in downlink and uplink directions</w:t>
      </w:r>
      <w:r>
        <w:rPr>
          <w:rFonts w:eastAsia="DengXian"/>
          <w:lang w:val="en-US" w:eastAsia="zh-CN"/>
        </w:rPr>
        <w:t xml:space="preserve"> without UE impacts. The actual </w:t>
      </w:r>
      <w:proofErr w:type="spellStart"/>
      <w:r>
        <w:rPr>
          <w:rFonts w:eastAsia="DengXian"/>
          <w:lang w:val="en-US" w:eastAsia="zh-CN"/>
        </w:rPr>
        <w:t>signalling</w:t>
      </w:r>
      <w:proofErr w:type="spellEnd"/>
      <w:r>
        <w:rPr>
          <w:rFonts w:eastAsia="DengXian"/>
          <w:lang w:val="en-US" w:eastAsia="zh-CN"/>
        </w:rPr>
        <w:t xml:space="preserve"> to indicate congestion detected by the </w:t>
      </w:r>
      <w:proofErr w:type="spellStart"/>
      <w:r>
        <w:rPr>
          <w:rFonts w:eastAsia="DengXian"/>
          <w:lang w:val="en-US" w:eastAsia="zh-CN"/>
        </w:rPr>
        <w:t>gNB</w:t>
      </w:r>
      <w:proofErr w:type="spellEnd"/>
      <w:r>
        <w:rPr>
          <w:rFonts w:eastAsia="DengXian"/>
          <w:lang w:val="en-US" w:eastAsia="zh-CN"/>
        </w:rPr>
        <w:t xml:space="preserve"> to UPF/AF is up to RAN3 design. </w:t>
      </w:r>
    </w:p>
    <w:p w14:paraId="286796E1" w14:textId="77777777" w:rsidR="00E557EF" w:rsidRDefault="00000000">
      <w:pPr>
        <w:rPr>
          <w:rFonts w:eastAsia="DengXian"/>
          <w:b/>
          <w:bCs/>
          <w:lang w:val="en-US" w:eastAsia="ko-KR"/>
        </w:rPr>
      </w:pPr>
      <w:r>
        <w:rPr>
          <w:rFonts w:eastAsia="DengXian"/>
          <w:b/>
          <w:bCs/>
          <w:lang w:val="en-US" w:eastAsia="zh-CN"/>
        </w:rPr>
        <w:t xml:space="preserve">Proposal 6: Respond to SA2 LS with both “Yes” for the two questions. </w:t>
      </w:r>
      <w:proofErr w:type="gramStart"/>
      <w:r>
        <w:rPr>
          <w:rFonts w:eastAsia="DengXian"/>
          <w:b/>
          <w:bCs/>
          <w:lang w:val="en-US" w:eastAsia="zh-CN"/>
        </w:rPr>
        <w:t>E.g.</w:t>
      </w:r>
      <w:proofErr w:type="gramEnd"/>
      <w:r>
        <w:rPr>
          <w:rFonts w:eastAsia="DengXian"/>
          <w:b/>
          <w:bCs/>
          <w:lang w:val="en-US" w:eastAsia="zh-CN"/>
        </w:rPr>
        <w:t xml:space="preserve"> RAN can estimate </w:t>
      </w:r>
      <w:r>
        <w:rPr>
          <w:b/>
          <w:bCs/>
          <w:lang w:val="en-US" w:eastAsia="ko-KR"/>
        </w:rPr>
        <w:t xml:space="preserve">the congestion information </w:t>
      </w:r>
      <w:r>
        <w:rPr>
          <w:rFonts w:eastAsia="DengXian"/>
          <w:b/>
          <w:bCs/>
          <w:lang w:eastAsia="zh-CN"/>
        </w:rPr>
        <w:t>per QoS flow, per DRB in downlink and uplink directions</w:t>
      </w:r>
      <w:r>
        <w:rPr>
          <w:rFonts w:eastAsia="DengXian"/>
          <w:b/>
          <w:bCs/>
          <w:lang w:val="en-US" w:eastAsia="zh-CN"/>
        </w:rPr>
        <w:t xml:space="preserve"> without UE impacts. The actual </w:t>
      </w:r>
      <w:proofErr w:type="spellStart"/>
      <w:r>
        <w:rPr>
          <w:rFonts w:eastAsia="DengXian"/>
          <w:b/>
          <w:bCs/>
          <w:lang w:val="en-US" w:eastAsia="zh-CN"/>
        </w:rPr>
        <w:t>signalling</w:t>
      </w:r>
      <w:proofErr w:type="spellEnd"/>
      <w:r>
        <w:rPr>
          <w:rFonts w:eastAsia="DengXian"/>
          <w:b/>
          <w:bCs/>
          <w:lang w:val="en-US" w:eastAsia="zh-CN"/>
        </w:rPr>
        <w:t xml:space="preserve"> mechanisms to indicate congestion from RAN to CN is up to RAN3. </w:t>
      </w:r>
    </w:p>
    <w:p w14:paraId="2913F474" w14:textId="77777777" w:rsidR="00E557EF"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7D95E140" w14:textId="77777777" w:rsidR="00E557EF" w:rsidRDefault="00000000">
      <w:r>
        <w:t xml:space="preserve">The following observations and proposals are made: </w:t>
      </w:r>
    </w:p>
    <w:p w14:paraId="79EF4FA7" w14:textId="77777777" w:rsidR="00E557EF" w:rsidRDefault="00000000">
      <w:pPr>
        <w:rPr>
          <w:b/>
          <w:bCs/>
          <w:lang w:val="en-US"/>
        </w:rPr>
      </w:pPr>
      <w:r>
        <w:rPr>
          <w:b/>
          <w:bCs/>
          <w:lang w:val="en-US"/>
        </w:rPr>
        <w:t>Proposal 1: To enable finer granularity for BSR, more than one BSR MAC CE for same LCG can be included in one MAC PDU and the actual buffer size value is calculated using all the BSR MAC CEs for the same LCG included in the MAC PDU.</w:t>
      </w:r>
    </w:p>
    <w:p w14:paraId="6CCFC029" w14:textId="77777777" w:rsidR="00E557EF" w:rsidRDefault="00000000">
      <w:pPr>
        <w:rPr>
          <w:b/>
          <w:bCs/>
          <w:lang w:val="en-US" w:eastAsia="ko-KR"/>
        </w:rPr>
      </w:pPr>
      <w:r>
        <w:rPr>
          <w:b/>
          <w:bCs/>
          <w:lang w:val="en-US" w:eastAsia="ko-KR"/>
        </w:rPr>
        <w:t xml:space="preserve">Proposal 2: RAN2 should specify mechanisms to enable </w:t>
      </w:r>
      <w:r>
        <w:rPr>
          <w:b/>
          <w:bCs/>
          <w:lang w:val="en-US" w:eastAsia="zh-CN"/>
        </w:rPr>
        <w:t xml:space="preserve">Long BSR to be reported even if only </w:t>
      </w:r>
      <w:r>
        <w:rPr>
          <w:b/>
          <w:bCs/>
          <w:lang w:eastAsia="ko-KR"/>
        </w:rPr>
        <w:t>one LCG has data available for transmission</w:t>
      </w:r>
      <w:r>
        <w:rPr>
          <w:b/>
          <w:bCs/>
          <w:lang w:val="en-US" w:eastAsia="ko-KR"/>
        </w:rPr>
        <w:t>.</w:t>
      </w:r>
    </w:p>
    <w:p w14:paraId="790BE6E4" w14:textId="77777777" w:rsidR="00E557EF" w:rsidRDefault="00000000">
      <w:pPr>
        <w:rPr>
          <w:b/>
          <w:bCs/>
          <w:lang w:val="en-US" w:eastAsia="ko-KR"/>
        </w:rPr>
      </w:pPr>
      <w:r>
        <w:rPr>
          <w:b/>
          <w:bCs/>
          <w:lang w:val="en-US" w:eastAsia="ko-KR"/>
        </w:rPr>
        <w:t xml:space="preserve">Proposal 3: A new buffer size table with </w:t>
      </w:r>
      <w:r>
        <w:rPr>
          <w:rFonts w:hint="eastAsia"/>
          <w:b/>
          <w:bCs/>
          <w:lang w:val="en-US" w:eastAsia="zh-CN"/>
        </w:rPr>
        <w:t>8</w:t>
      </w:r>
      <w:r>
        <w:rPr>
          <w:b/>
          <w:bCs/>
          <w:lang w:val="en-US" w:eastAsia="ko-KR"/>
        </w:rPr>
        <w:t>-bit Buffer Size</w:t>
      </w:r>
      <w:r>
        <w:rPr>
          <w:rFonts w:hint="eastAsia"/>
          <w:b/>
          <w:bCs/>
          <w:lang w:val="en-US" w:eastAsia="zh-CN"/>
        </w:rPr>
        <w:t xml:space="preserve"> field</w:t>
      </w:r>
      <w:r>
        <w:rPr>
          <w:b/>
          <w:bCs/>
          <w:lang w:val="en-US" w:eastAsia="zh-CN"/>
        </w:rPr>
        <w:t xml:space="preserve"> is introduced </w:t>
      </w:r>
      <w:r>
        <w:rPr>
          <w:b/>
          <w:bCs/>
          <w:lang w:val="en-US" w:eastAsia="ko-KR"/>
        </w:rPr>
        <w:t>for the large buffer size range.</w:t>
      </w:r>
    </w:p>
    <w:p w14:paraId="58A5BEB9" w14:textId="77777777" w:rsidR="00E557EF" w:rsidRDefault="00000000">
      <w:pPr>
        <w:rPr>
          <w:b/>
          <w:bCs/>
          <w:lang w:val="en-US" w:eastAsia="ko-KR"/>
        </w:rPr>
      </w:pPr>
      <w:r>
        <w:rPr>
          <w:b/>
          <w:bCs/>
          <w:lang w:val="en-US" w:eastAsia="ko-KR"/>
        </w:rPr>
        <w:t xml:space="preserve">Proposal 3a: </w:t>
      </w:r>
      <w:proofErr w:type="spellStart"/>
      <w:r>
        <w:rPr>
          <w:b/>
          <w:bCs/>
          <w:lang w:val="en-US" w:eastAsia="ko-KR"/>
        </w:rPr>
        <w:t>gNB</w:t>
      </w:r>
      <w:proofErr w:type="spellEnd"/>
      <w:r>
        <w:rPr>
          <w:b/>
          <w:bCs/>
          <w:lang w:val="en-US" w:eastAsia="ko-KR"/>
        </w:rPr>
        <w:t xml:space="preserve"> sends an indication to UE to indicate whether it supports the new buffer size table, and UE use a new UL LC ID to indicate whether the new buffer size table is used for the BSR reporting.</w:t>
      </w:r>
    </w:p>
    <w:p w14:paraId="6992AFD2" w14:textId="77777777" w:rsidR="00E557EF" w:rsidRDefault="00000000">
      <w:pPr>
        <w:rPr>
          <w:b/>
          <w:bCs/>
          <w:lang w:val="en-US" w:eastAsia="ko-KR"/>
        </w:rPr>
      </w:pPr>
      <w:r>
        <w:rPr>
          <w:b/>
          <w:bCs/>
          <w:lang w:val="en-US" w:eastAsia="ko-KR"/>
        </w:rPr>
        <w:t>Proposal 4: periodic UL resource (</w:t>
      </w:r>
      <w:proofErr w:type="gramStart"/>
      <w:r>
        <w:rPr>
          <w:b/>
          <w:bCs/>
          <w:lang w:val="en-US" w:eastAsia="ko-KR"/>
        </w:rPr>
        <w:t>e.g.</w:t>
      </w:r>
      <w:proofErr w:type="gramEnd"/>
      <w:r>
        <w:rPr>
          <w:b/>
          <w:bCs/>
          <w:lang w:val="en-US" w:eastAsia="ko-KR"/>
        </w:rPr>
        <w:t xml:space="preserve"> CG) for BSR reporting is configured, which is valid only during the DRX on-duration time.</w:t>
      </w:r>
    </w:p>
    <w:p w14:paraId="3B700BB7" w14:textId="77777777" w:rsidR="00E557EF" w:rsidRDefault="00000000">
      <w:pPr>
        <w:numPr>
          <w:ilvl w:val="255"/>
          <w:numId w:val="0"/>
        </w:numPr>
        <w:rPr>
          <w:b/>
          <w:bCs/>
          <w:lang w:val="en-US" w:eastAsia="ko-KR"/>
        </w:rPr>
      </w:pPr>
      <w:r>
        <w:rPr>
          <w:b/>
          <w:bCs/>
          <w:lang w:val="en-US" w:eastAsia="ko-KR"/>
        </w:rPr>
        <w:t>Proposal 5: If “remaining time” is reported along with BSR, further discussion is needed on the BSR overhead and granularity (</w:t>
      </w:r>
      <w:proofErr w:type="gramStart"/>
      <w:r>
        <w:rPr>
          <w:b/>
          <w:bCs/>
          <w:lang w:val="en-US" w:eastAsia="ko-KR"/>
        </w:rPr>
        <w:t>e.g.</w:t>
      </w:r>
      <w:proofErr w:type="gramEnd"/>
      <w:r>
        <w:rPr>
          <w:b/>
          <w:bCs/>
          <w:lang w:val="en-US" w:eastAsia="ko-KR"/>
        </w:rPr>
        <w:t xml:space="preserve"> per LCG/Per LC/Per DRB), accuracy of the reporting </w:t>
      </w:r>
      <w:r>
        <w:rPr>
          <w:b/>
          <w:bCs/>
          <w:lang w:val="en-US" w:eastAsia="ko-KR"/>
        </w:rPr>
        <w:lastRenderedPageBreak/>
        <w:t>(considering the reporting time vs time when the BSR is constructed at the UE).</w:t>
      </w:r>
    </w:p>
    <w:p w14:paraId="547E520E" w14:textId="77777777" w:rsidR="00E557EF" w:rsidRDefault="00000000">
      <w:pPr>
        <w:rPr>
          <w:b/>
          <w:bCs/>
          <w:lang w:val="en-US" w:eastAsia="ko-KR"/>
        </w:rPr>
      </w:pPr>
      <w:r>
        <w:rPr>
          <w:rFonts w:eastAsia="DengXian"/>
          <w:b/>
          <w:bCs/>
          <w:lang w:val="en-US" w:eastAsia="zh-CN"/>
        </w:rPr>
        <w:t xml:space="preserve">Proposal 6: Respond to SA2 LS with both “Yes” for the two questions. </w:t>
      </w:r>
      <w:proofErr w:type="gramStart"/>
      <w:r>
        <w:rPr>
          <w:rFonts w:eastAsia="DengXian"/>
          <w:b/>
          <w:bCs/>
          <w:lang w:val="en-US" w:eastAsia="zh-CN"/>
        </w:rPr>
        <w:t>E.g.</w:t>
      </w:r>
      <w:proofErr w:type="gramEnd"/>
      <w:r>
        <w:rPr>
          <w:rFonts w:eastAsia="DengXian"/>
          <w:b/>
          <w:bCs/>
          <w:lang w:val="en-US" w:eastAsia="zh-CN"/>
        </w:rPr>
        <w:t xml:space="preserve"> RAN can estimate </w:t>
      </w:r>
      <w:r>
        <w:rPr>
          <w:b/>
          <w:bCs/>
          <w:lang w:val="en-US" w:eastAsia="ko-KR"/>
        </w:rPr>
        <w:t xml:space="preserve">the congestion information </w:t>
      </w:r>
      <w:r>
        <w:rPr>
          <w:rFonts w:eastAsia="DengXian"/>
          <w:b/>
          <w:bCs/>
          <w:lang w:eastAsia="zh-CN"/>
        </w:rPr>
        <w:t>per QoS flow, per DRB in downlink and uplink directions</w:t>
      </w:r>
      <w:r>
        <w:rPr>
          <w:rFonts w:eastAsia="DengXian"/>
          <w:b/>
          <w:bCs/>
          <w:lang w:val="en-US" w:eastAsia="zh-CN"/>
        </w:rPr>
        <w:t xml:space="preserve"> without UE impacts. The actual </w:t>
      </w:r>
      <w:proofErr w:type="spellStart"/>
      <w:r>
        <w:rPr>
          <w:rFonts w:eastAsia="DengXian"/>
          <w:b/>
          <w:bCs/>
          <w:lang w:val="en-US" w:eastAsia="zh-CN"/>
        </w:rPr>
        <w:t>signalling</w:t>
      </w:r>
      <w:proofErr w:type="spellEnd"/>
      <w:r>
        <w:rPr>
          <w:rFonts w:eastAsia="DengXian"/>
          <w:b/>
          <w:bCs/>
          <w:lang w:val="en-US" w:eastAsia="zh-CN"/>
        </w:rPr>
        <w:t xml:space="preserve"> mechanisms to indicate congestion from RAN to CN is up to RAN3. </w:t>
      </w:r>
    </w:p>
    <w:p w14:paraId="0D1ED67B" w14:textId="77777777" w:rsidR="00E557EF"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6" w:name="_Toc18404543"/>
      <w:bookmarkStart w:id="7" w:name="_Toc18403976"/>
      <w:bookmarkStart w:id="8" w:name="_Toc18413612"/>
      <w:r>
        <w:rPr>
          <w:rFonts w:cs="Arial"/>
          <w:b w:val="0"/>
          <w:bCs w:val="0"/>
          <w:kern w:val="0"/>
          <w:sz w:val="32"/>
          <w:szCs w:val="36"/>
        </w:rPr>
        <w:t>References</w:t>
      </w:r>
      <w:bookmarkEnd w:id="6"/>
      <w:bookmarkEnd w:id="7"/>
      <w:bookmarkEnd w:id="8"/>
    </w:p>
    <w:p w14:paraId="7316D5AB" w14:textId="77777777" w:rsidR="00E557EF" w:rsidRDefault="00000000">
      <w:pPr>
        <w:pStyle w:val="ListParagraph"/>
        <w:numPr>
          <w:ilvl w:val="0"/>
          <w:numId w:val="10"/>
        </w:numPr>
        <w:ind w:firstLineChars="0"/>
      </w:pPr>
      <w:bookmarkStart w:id="9" w:name="_Ref106972667"/>
      <w:r>
        <w:t>3GPP TR 23.700-60, V0.3.0, Study on XR (Extended Reality) and media services</w:t>
      </w:r>
      <w:bookmarkEnd w:id="9"/>
    </w:p>
    <w:p w14:paraId="4E0FE8AC" w14:textId="77777777" w:rsidR="00E557EF" w:rsidRDefault="00000000">
      <w:pPr>
        <w:pStyle w:val="ListParagraph"/>
        <w:numPr>
          <w:ilvl w:val="0"/>
          <w:numId w:val="10"/>
        </w:numPr>
        <w:ind w:firstLineChars="0"/>
      </w:pPr>
      <w:r>
        <w:t>3GPP T</w:t>
      </w:r>
      <w:r>
        <w:rPr>
          <w:lang w:val="en-US"/>
        </w:rPr>
        <w:t>S 38.321, V17.1.0 (2022-09</w:t>
      </w:r>
      <w:proofErr w:type="gramStart"/>
      <w:r>
        <w:rPr>
          <w:lang w:val="en-US"/>
        </w:rPr>
        <w:t>),Technical</w:t>
      </w:r>
      <w:proofErr w:type="gramEnd"/>
      <w:r>
        <w:rPr>
          <w:lang w:val="en-US"/>
        </w:rPr>
        <w:t xml:space="preserve"> Specification Group Radio Access Network; NR; Medium Access Control (MAC) protocol specification</w:t>
      </w:r>
    </w:p>
    <w:p w14:paraId="535DE985" w14:textId="77777777" w:rsidR="00E557EF" w:rsidRDefault="00000000">
      <w:pPr>
        <w:pStyle w:val="ListParagraph"/>
        <w:numPr>
          <w:ilvl w:val="0"/>
          <w:numId w:val="10"/>
        </w:numPr>
        <w:ind w:firstLineChars="0"/>
      </w:pPr>
      <w:r>
        <w:rPr>
          <w:lang w:val="en-US"/>
        </w:rPr>
        <w:t xml:space="preserve">3GPP, </w:t>
      </w:r>
      <w:r>
        <w:rPr>
          <w:rFonts w:hint="eastAsia"/>
        </w:rPr>
        <w:t xml:space="preserve">RAN2-119bise LTE DCCA MUSIM Slicing 71 GHz </w:t>
      </w:r>
      <w:proofErr w:type="spellStart"/>
      <w:r>
        <w:rPr>
          <w:rFonts w:hint="eastAsia"/>
        </w:rPr>
        <w:t>QoE</w:t>
      </w:r>
      <w:proofErr w:type="spellEnd"/>
      <w:r>
        <w:rPr>
          <w:rFonts w:hint="eastAsia"/>
        </w:rPr>
        <w:t xml:space="preserve"> XR (</w:t>
      </w:r>
      <w:proofErr w:type="spellStart"/>
      <w:r>
        <w:rPr>
          <w:rFonts w:hint="eastAsia"/>
        </w:rPr>
        <w:t>Tero</w:t>
      </w:r>
      <w:proofErr w:type="spellEnd"/>
      <w:r>
        <w:rPr>
          <w:rFonts w:hint="eastAsia"/>
        </w:rPr>
        <w:t>)_2022-10-19-EOM</w:t>
      </w:r>
    </w:p>
    <w:p w14:paraId="54D487C1" w14:textId="77777777" w:rsidR="00E557EF" w:rsidRDefault="00000000">
      <w:pPr>
        <w:pStyle w:val="ListParagraph"/>
        <w:numPr>
          <w:ilvl w:val="0"/>
          <w:numId w:val="10"/>
        </w:numPr>
        <w:ind w:firstLineChars="0"/>
      </w:pPr>
      <w:r>
        <w:t>3GPP</w:t>
      </w:r>
      <w:r>
        <w:rPr>
          <w:lang w:val="en-US" w:eastAsia="zh-CN"/>
        </w:rPr>
        <w:t xml:space="preserve">, </w:t>
      </w:r>
      <w:r>
        <w:rPr>
          <w:rFonts w:hint="eastAsia"/>
        </w:rPr>
        <w:t>R2-2211138</w:t>
      </w:r>
      <w:r>
        <w:rPr>
          <w:lang w:val="en-US"/>
        </w:rPr>
        <w:t xml:space="preserve">, </w:t>
      </w:r>
      <w:r>
        <w:rPr>
          <w:rFonts w:hint="eastAsia"/>
        </w:rPr>
        <w:t>LS on XR and Media Services (S2-2209979; contact: vivo)</w:t>
      </w:r>
      <w:r>
        <w:rPr>
          <w:lang w:val="en-US"/>
        </w:rPr>
        <w:t xml:space="preserve">, </w:t>
      </w:r>
      <w:r>
        <w:rPr>
          <w:rFonts w:hint="eastAsia"/>
        </w:rPr>
        <w:t>SA2</w:t>
      </w:r>
      <w:r>
        <w:rPr>
          <w:lang w:val="en-US"/>
        </w:rPr>
        <w:t>, RAN2#120, November, 2022</w:t>
      </w:r>
    </w:p>
    <w:p w14:paraId="7868DB4A" w14:textId="77777777" w:rsidR="00E557EF" w:rsidRDefault="00E557EF">
      <w:pPr>
        <w:pStyle w:val="NormalWeb"/>
        <w:spacing w:before="75" w:beforeAutospacing="0" w:after="75" w:afterAutospacing="0" w:line="315" w:lineRule="atLeast"/>
        <w:rPr>
          <w:rFonts w:cs="Arial"/>
          <w:color w:val="000000"/>
          <w:sz w:val="21"/>
        </w:rPr>
      </w:pPr>
    </w:p>
    <w:sectPr w:rsidR="00E557EF">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739CB" w14:textId="77777777" w:rsidR="004A347F" w:rsidRDefault="004A347F">
      <w:pPr>
        <w:spacing w:after="0" w:line="240" w:lineRule="auto"/>
      </w:pPr>
      <w:r>
        <w:separator/>
      </w:r>
    </w:p>
  </w:endnote>
  <w:endnote w:type="continuationSeparator" w:id="0">
    <w:p w14:paraId="246887EC" w14:textId="77777777" w:rsidR="004A347F" w:rsidRDefault="004A34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default"/>
    <w:sig w:usb0="00000000" w:usb1="00000000" w:usb2="08000012" w:usb3="00000000" w:csb0="4002009F" w:csb1="DFD70000"/>
  </w:font>
  <w:font w:name="SimHei">
    <w:altName w:val="黑体"/>
    <w:panose1 w:val="02010600030101010101"/>
    <w:charset w:val="86"/>
    <w:family w:val="auto"/>
    <w:pitch w:val="default"/>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STFangsong">
    <w:altName w:val="Microsoft YaHei"/>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F7082" w14:textId="77777777" w:rsidR="00E557EF"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50BFC3A" w14:textId="77777777" w:rsidR="00E557EF" w:rsidRDefault="00E557E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C4520" w14:textId="77777777" w:rsidR="00E557EF" w:rsidRDefault="00E557EF">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63561" w14:textId="77777777" w:rsidR="00304924" w:rsidRDefault="003049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E67B5" w14:textId="77777777" w:rsidR="004A347F" w:rsidRDefault="004A347F">
      <w:pPr>
        <w:spacing w:after="0" w:line="240" w:lineRule="auto"/>
      </w:pPr>
      <w:r>
        <w:separator/>
      </w:r>
    </w:p>
  </w:footnote>
  <w:footnote w:type="continuationSeparator" w:id="0">
    <w:p w14:paraId="0604111B" w14:textId="77777777" w:rsidR="004A347F" w:rsidRDefault="004A34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A475C" w14:textId="77777777" w:rsidR="00304924" w:rsidRDefault="003049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661A9" w14:textId="77777777" w:rsidR="00E557EF" w:rsidRDefault="00E557EF">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27CE5" w14:textId="77777777" w:rsidR="00304924" w:rsidRDefault="003049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5059649"/>
    <w:multiLevelType w:val="singleLevel"/>
    <w:tmpl w:val="05059649"/>
    <w:lvl w:ilvl="0">
      <w:start w:val="1"/>
      <w:numFmt w:val="bullet"/>
      <w:lvlText w:val=""/>
      <w:lvlJc w:val="left"/>
      <w:pPr>
        <w:ind w:left="420" w:hanging="420"/>
      </w:pPr>
      <w:rPr>
        <w:rFonts w:ascii="Wingdings" w:hAnsi="Wingding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70A6152"/>
    <w:multiLevelType w:val="multilevel"/>
    <w:tmpl w:val="270A61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85433E5"/>
    <w:multiLevelType w:val="multilevel"/>
    <w:tmpl w:val="385433E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3BA27462"/>
    <w:multiLevelType w:val="multilevel"/>
    <w:tmpl w:val="3BA2746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70146DC0"/>
    <w:multiLevelType w:val="multilevel"/>
    <w:tmpl w:val="70146DC0"/>
    <w:lvl w:ilvl="0">
      <w:start w:val="1"/>
      <w:numFmt w:val="bullet"/>
      <w:lvlText w:val=""/>
      <w:lvlJc w:val="left"/>
      <w:pPr>
        <w:tabs>
          <w:tab w:val="left" w:pos="359"/>
        </w:tabs>
        <w:ind w:left="359"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num w:numId="1" w16cid:durableId="810439181">
    <w:abstractNumId w:val="0"/>
  </w:num>
  <w:num w:numId="2" w16cid:durableId="460727020">
    <w:abstractNumId w:val="8"/>
  </w:num>
  <w:num w:numId="3" w16cid:durableId="261569943">
    <w:abstractNumId w:val="4"/>
  </w:num>
  <w:num w:numId="4" w16cid:durableId="437020850">
    <w:abstractNumId w:val="5"/>
  </w:num>
  <w:num w:numId="5" w16cid:durableId="1166703920">
    <w:abstractNumId w:val="2"/>
  </w:num>
  <w:num w:numId="6" w16cid:durableId="1257444576">
    <w:abstractNumId w:val="9"/>
  </w:num>
  <w:num w:numId="7" w16cid:durableId="1780877550">
    <w:abstractNumId w:val="3"/>
  </w:num>
  <w:num w:numId="8" w16cid:durableId="1247954101">
    <w:abstractNumId w:val="1"/>
  </w:num>
  <w:num w:numId="9" w16cid:durableId="1559435543">
    <w:abstractNumId w:val="6"/>
  </w:num>
  <w:num w:numId="10" w16cid:durableId="78801515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proofState w:spelling="clean" w:grammar="clean"/>
  <w:defaultTabStop w:val="4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07802"/>
    <w:rsid w:val="000103E7"/>
    <w:rsid w:val="00010D2F"/>
    <w:rsid w:val="0001278E"/>
    <w:rsid w:val="000130CA"/>
    <w:rsid w:val="00013FAD"/>
    <w:rsid w:val="000148BC"/>
    <w:rsid w:val="00016024"/>
    <w:rsid w:val="0001674A"/>
    <w:rsid w:val="00017BA5"/>
    <w:rsid w:val="00021259"/>
    <w:rsid w:val="00021359"/>
    <w:rsid w:val="000223BE"/>
    <w:rsid w:val="000248FC"/>
    <w:rsid w:val="00024E29"/>
    <w:rsid w:val="0002660A"/>
    <w:rsid w:val="00026899"/>
    <w:rsid w:val="0002698B"/>
    <w:rsid w:val="0002709F"/>
    <w:rsid w:val="00027EEC"/>
    <w:rsid w:val="00030099"/>
    <w:rsid w:val="00034CF0"/>
    <w:rsid w:val="00035A1E"/>
    <w:rsid w:val="00035EF9"/>
    <w:rsid w:val="000368DB"/>
    <w:rsid w:val="00037973"/>
    <w:rsid w:val="00040A63"/>
    <w:rsid w:val="00040E98"/>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67F0C"/>
    <w:rsid w:val="0007093A"/>
    <w:rsid w:val="00071D0A"/>
    <w:rsid w:val="0007205B"/>
    <w:rsid w:val="0007240A"/>
    <w:rsid w:val="00073BCE"/>
    <w:rsid w:val="000741B1"/>
    <w:rsid w:val="00074540"/>
    <w:rsid w:val="000755A8"/>
    <w:rsid w:val="00075AE2"/>
    <w:rsid w:val="00076492"/>
    <w:rsid w:val="00076B12"/>
    <w:rsid w:val="00077021"/>
    <w:rsid w:val="0007780F"/>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204F"/>
    <w:rsid w:val="000A22DF"/>
    <w:rsid w:val="000A2A28"/>
    <w:rsid w:val="000A2D0A"/>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7001"/>
    <w:rsid w:val="000B780E"/>
    <w:rsid w:val="000B7BA4"/>
    <w:rsid w:val="000C236D"/>
    <w:rsid w:val="000C2690"/>
    <w:rsid w:val="000C364E"/>
    <w:rsid w:val="000C4F79"/>
    <w:rsid w:val="000C5D4C"/>
    <w:rsid w:val="000C6FF6"/>
    <w:rsid w:val="000C7FC7"/>
    <w:rsid w:val="000D18C5"/>
    <w:rsid w:val="000D2BF9"/>
    <w:rsid w:val="000D46DC"/>
    <w:rsid w:val="000E1125"/>
    <w:rsid w:val="000E1993"/>
    <w:rsid w:val="000E1EF3"/>
    <w:rsid w:val="000E2601"/>
    <w:rsid w:val="000E38C6"/>
    <w:rsid w:val="000E3B8A"/>
    <w:rsid w:val="000E3BBE"/>
    <w:rsid w:val="000F0A49"/>
    <w:rsid w:val="000F0A7B"/>
    <w:rsid w:val="000F0AC3"/>
    <w:rsid w:val="000F2AE2"/>
    <w:rsid w:val="000F4CFF"/>
    <w:rsid w:val="000F78FD"/>
    <w:rsid w:val="00100030"/>
    <w:rsid w:val="00111739"/>
    <w:rsid w:val="00111C96"/>
    <w:rsid w:val="00111CE0"/>
    <w:rsid w:val="00111DF0"/>
    <w:rsid w:val="00112082"/>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06C9"/>
    <w:rsid w:val="001413B6"/>
    <w:rsid w:val="00141835"/>
    <w:rsid w:val="00141E43"/>
    <w:rsid w:val="00145AFF"/>
    <w:rsid w:val="00145B62"/>
    <w:rsid w:val="00147740"/>
    <w:rsid w:val="00150BAB"/>
    <w:rsid w:val="00160A40"/>
    <w:rsid w:val="00162611"/>
    <w:rsid w:val="001627D9"/>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0A7A"/>
    <w:rsid w:val="00181A66"/>
    <w:rsid w:val="0018310D"/>
    <w:rsid w:val="001841BA"/>
    <w:rsid w:val="00185C8F"/>
    <w:rsid w:val="00185CD6"/>
    <w:rsid w:val="00187A58"/>
    <w:rsid w:val="00187FEF"/>
    <w:rsid w:val="00190A8D"/>
    <w:rsid w:val="00190EA3"/>
    <w:rsid w:val="00194E0B"/>
    <w:rsid w:val="0019547D"/>
    <w:rsid w:val="00195E1F"/>
    <w:rsid w:val="00196645"/>
    <w:rsid w:val="001978AE"/>
    <w:rsid w:val="00197997"/>
    <w:rsid w:val="001A384E"/>
    <w:rsid w:val="001A4015"/>
    <w:rsid w:val="001A41E0"/>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2914"/>
    <w:rsid w:val="001D2FB0"/>
    <w:rsid w:val="001D55AF"/>
    <w:rsid w:val="001E01CC"/>
    <w:rsid w:val="001E0341"/>
    <w:rsid w:val="001E1C36"/>
    <w:rsid w:val="001E3509"/>
    <w:rsid w:val="001E3D8C"/>
    <w:rsid w:val="001E43EF"/>
    <w:rsid w:val="001E44CD"/>
    <w:rsid w:val="001E4846"/>
    <w:rsid w:val="001E6F40"/>
    <w:rsid w:val="001F0A3C"/>
    <w:rsid w:val="001F1606"/>
    <w:rsid w:val="001F2DDD"/>
    <w:rsid w:val="001F31F0"/>
    <w:rsid w:val="001F3DF5"/>
    <w:rsid w:val="001F4346"/>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832"/>
    <w:rsid w:val="002435BA"/>
    <w:rsid w:val="00244D42"/>
    <w:rsid w:val="00246FFA"/>
    <w:rsid w:val="00247076"/>
    <w:rsid w:val="00247683"/>
    <w:rsid w:val="00250AC4"/>
    <w:rsid w:val="00252B94"/>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3A1E"/>
    <w:rsid w:val="00274493"/>
    <w:rsid w:val="00274A71"/>
    <w:rsid w:val="00277301"/>
    <w:rsid w:val="00281718"/>
    <w:rsid w:val="00282A2B"/>
    <w:rsid w:val="002843CF"/>
    <w:rsid w:val="002855D0"/>
    <w:rsid w:val="00290E18"/>
    <w:rsid w:val="002910B9"/>
    <w:rsid w:val="00291D54"/>
    <w:rsid w:val="00293A6E"/>
    <w:rsid w:val="002944BA"/>
    <w:rsid w:val="002961E6"/>
    <w:rsid w:val="00297A88"/>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3096"/>
    <w:rsid w:val="003031CE"/>
    <w:rsid w:val="00303E90"/>
    <w:rsid w:val="00304852"/>
    <w:rsid w:val="00304924"/>
    <w:rsid w:val="00305358"/>
    <w:rsid w:val="00305F11"/>
    <w:rsid w:val="0030650B"/>
    <w:rsid w:val="00307396"/>
    <w:rsid w:val="003110B2"/>
    <w:rsid w:val="00312067"/>
    <w:rsid w:val="00312C1A"/>
    <w:rsid w:val="00312DD1"/>
    <w:rsid w:val="00313308"/>
    <w:rsid w:val="003144CA"/>
    <w:rsid w:val="00317063"/>
    <w:rsid w:val="003171FD"/>
    <w:rsid w:val="00321077"/>
    <w:rsid w:val="003213D2"/>
    <w:rsid w:val="00322A09"/>
    <w:rsid w:val="00322EDB"/>
    <w:rsid w:val="0032502D"/>
    <w:rsid w:val="003257A1"/>
    <w:rsid w:val="003268BB"/>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0CCA"/>
    <w:rsid w:val="00351234"/>
    <w:rsid w:val="00351331"/>
    <w:rsid w:val="00351F42"/>
    <w:rsid w:val="003529E1"/>
    <w:rsid w:val="003546A6"/>
    <w:rsid w:val="00354915"/>
    <w:rsid w:val="00354E6F"/>
    <w:rsid w:val="00355E51"/>
    <w:rsid w:val="003577BE"/>
    <w:rsid w:val="00360AB9"/>
    <w:rsid w:val="00361D03"/>
    <w:rsid w:val="00362200"/>
    <w:rsid w:val="00362FCF"/>
    <w:rsid w:val="003645A1"/>
    <w:rsid w:val="0036468F"/>
    <w:rsid w:val="0036499D"/>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3A74"/>
    <w:rsid w:val="00384541"/>
    <w:rsid w:val="00385C87"/>
    <w:rsid w:val="00387F14"/>
    <w:rsid w:val="00391402"/>
    <w:rsid w:val="00391815"/>
    <w:rsid w:val="0039187D"/>
    <w:rsid w:val="00391F87"/>
    <w:rsid w:val="003922AD"/>
    <w:rsid w:val="00393338"/>
    <w:rsid w:val="00394FC5"/>
    <w:rsid w:val="00395A59"/>
    <w:rsid w:val="00396952"/>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197A"/>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214B5"/>
    <w:rsid w:val="004228A3"/>
    <w:rsid w:val="004229AC"/>
    <w:rsid w:val="00423D3B"/>
    <w:rsid w:val="004245A3"/>
    <w:rsid w:val="00424A48"/>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A87"/>
    <w:rsid w:val="00462F02"/>
    <w:rsid w:val="00466EDC"/>
    <w:rsid w:val="00467368"/>
    <w:rsid w:val="00467D25"/>
    <w:rsid w:val="00470697"/>
    <w:rsid w:val="00470E36"/>
    <w:rsid w:val="00471DD9"/>
    <w:rsid w:val="004727D9"/>
    <w:rsid w:val="00472DA1"/>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5AE9"/>
    <w:rsid w:val="00486111"/>
    <w:rsid w:val="00486454"/>
    <w:rsid w:val="00486717"/>
    <w:rsid w:val="0049176F"/>
    <w:rsid w:val="004923EE"/>
    <w:rsid w:val="00492EA5"/>
    <w:rsid w:val="00493038"/>
    <w:rsid w:val="00493247"/>
    <w:rsid w:val="00494981"/>
    <w:rsid w:val="00495E19"/>
    <w:rsid w:val="0049613E"/>
    <w:rsid w:val="0049650D"/>
    <w:rsid w:val="00497D20"/>
    <w:rsid w:val="004A0053"/>
    <w:rsid w:val="004A014A"/>
    <w:rsid w:val="004A0572"/>
    <w:rsid w:val="004A1051"/>
    <w:rsid w:val="004A1B41"/>
    <w:rsid w:val="004A2687"/>
    <w:rsid w:val="004A347F"/>
    <w:rsid w:val="004A402F"/>
    <w:rsid w:val="004A61A5"/>
    <w:rsid w:val="004B0FE8"/>
    <w:rsid w:val="004B1017"/>
    <w:rsid w:val="004B12D7"/>
    <w:rsid w:val="004B2B05"/>
    <w:rsid w:val="004B2BBA"/>
    <w:rsid w:val="004B5085"/>
    <w:rsid w:val="004B5502"/>
    <w:rsid w:val="004B71F4"/>
    <w:rsid w:val="004B76B6"/>
    <w:rsid w:val="004B7BFD"/>
    <w:rsid w:val="004C09FF"/>
    <w:rsid w:val="004C0B5E"/>
    <w:rsid w:val="004C0C80"/>
    <w:rsid w:val="004C16C3"/>
    <w:rsid w:val="004C16F8"/>
    <w:rsid w:val="004C21A1"/>
    <w:rsid w:val="004C6041"/>
    <w:rsid w:val="004C6366"/>
    <w:rsid w:val="004C63EE"/>
    <w:rsid w:val="004D1073"/>
    <w:rsid w:val="004D1EE6"/>
    <w:rsid w:val="004D238B"/>
    <w:rsid w:val="004D2E2E"/>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35DE"/>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383"/>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75053"/>
    <w:rsid w:val="00581A98"/>
    <w:rsid w:val="00585E04"/>
    <w:rsid w:val="00586551"/>
    <w:rsid w:val="0058687D"/>
    <w:rsid w:val="00586D2A"/>
    <w:rsid w:val="005907D0"/>
    <w:rsid w:val="005910DD"/>
    <w:rsid w:val="005940C1"/>
    <w:rsid w:val="0059566C"/>
    <w:rsid w:val="0059585E"/>
    <w:rsid w:val="00595BE7"/>
    <w:rsid w:val="00597D15"/>
    <w:rsid w:val="005A12B8"/>
    <w:rsid w:val="005A30F3"/>
    <w:rsid w:val="005A3156"/>
    <w:rsid w:val="005A53DF"/>
    <w:rsid w:val="005A6185"/>
    <w:rsid w:val="005A64AC"/>
    <w:rsid w:val="005B052E"/>
    <w:rsid w:val="005B220B"/>
    <w:rsid w:val="005B2525"/>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D6"/>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E1"/>
    <w:rsid w:val="00650236"/>
    <w:rsid w:val="006503F8"/>
    <w:rsid w:val="00650D0F"/>
    <w:rsid w:val="00651856"/>
    <w:rsid w:val="006521E7"/>
    <w:rsid w:val="0065579F"/>
    <w:rsid w:val="0065726E"/>
    <w:rsid w:val="006608AE"/>
    <w:rsid w:val="00670351"/>
    <w:rsid w:val="006706AA"/>
    <w:rsid w:val="006718B7"/>
    <w:rsid w:val="00673154"/>
    <w:rsid w:val="006746B2"/>
    <w:rsid w:val="0067540D"/>
    <w:rsid w:val="00677F98"/>
    <w:rsid w:val="006810C4"/>
    <w:rsid w:val="00682047"/>
    <w:rsid w:val="0068365D"/>
    <w:rsid w:val="0068376C"/>
    <w:rsid w:val="0068430C"/>
    <w:rsid w:val="00685237"/>
    <w:rsid w:val="006852A4"/>
    <w:rsid w:val="00690BB8"/>
    <w:rsid w:val="0069144C"/>
    <w:rsid w:val="0069161A"/>
    <w:rsid w:val="0069189C"/>
    <w:rsid w:val="00691D2A"/>
    <w:rsid w:val="00691E28"/>
    <w:rsid w:val="00691F66"/>
    <w:rsid w:val="00692C5E"/>
    <w:rsid w:val="006954BD"/>
    <w:rsid w:val="006968FD"/>
    <w:rsid w:val="006978B2"/>
    <w:rsid w:val="00697DD7"/>
    <w:rsid w:val="006A008F"/>
    <w:rsid w:val="006A03D8"/>
    <w:rsid w:val="006A069D"/>
    <w:rsid w:val="006A1FC4"/>
    <w:rsid w:val="006A36F2"/>
    <w:rsid w:val="006A451F"/>
    <w:rsid w:val="006A5402"/>
    <w:rsid w:val="006A67C2"/>
    <w:rsid w:val="006A6A31"/>
    <w:rsid w:val="006B0BCD"/>
    <w:rsid w:val="006B0C35"/>
    <w:rsid w:val="006B0CBE"/>
    <w:rsid w:val="006B0EB4"/>
    <w:rsid w:val="006B1340"/>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63"/>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5037"/>
    <w:rsid w:val="007165B5"/>
    <w:rsid w:val="007165BE"/>
    <w:rsid w:val="007200FA"/>
    <w:rsid w:val="00722A01"/>
    <w:rsid w:val="00723530"/>
    <w:rsid w:val="00723EFA"/>
    <w:rsid w:val="00725C56"/>
    <w:rsid w:val="00725CC4"/>
    <w:rsid w:val="00726958"/>
    <w:rsid w:val="00727D4D"/>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0B"/>
    <w:rsid w:val="00780871"/>
    <w:rsid w:val="0078113B"/>
    <w:rsid w:val="00787A57"/>
    <w:rsid w:val="00787B7D"/>
    <w:rsid w:val="00792D48"/>
    <w:rsid w:val="00793203"/>
    <w:rsid w:val="00793B26"/>
    <w:rsid w:val="00794677"/>
    <w:rsid w:val="00795931"/>
    <w:rsid w:val="00796A2A"/>
    <w:rsid w:val="00797EE2"/>
    <w:rsid w:val="007A053E"/>
    <w:rsid w:val="007A1A90"/>
    <w:rsid w:val="007A21A1"/>
    <w:rsid w:val="007A2A69"/>
    <w:rsid w:val="007A47D8"/>
    <w:rsid w:val="007A55C6"/>
    <w:rsid w:val="007A5DA3"/>
    <w:rsid w:val="007A5F9C"/>
    <w:rsid w:val="007A6821"/>
    <w:rsid w:val="007B0474"/>
    <w:rsid w:val="007B055F"/>
    <w:rsid w:val="007B0BAC"/>
    <w:rsid w:val="007B0E70"/>
    <w:rsid w:val="007B10F1"/>
    <w:rsid w:val="007B3EE9"/>
    <w:rsid w:val="007B43CE"/>
    <w:rsid w:val="007B4B41"/>
    <w:rsid w:val="007B6028"/>
    <w:rsid w:val="007B6C07"/>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60B3"/>
    <w:rsid w:val="007D79D8"/>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064A"/>
    <w:rsid w:val="008009E0"/>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27D8"/>
    <w:rsid w:val="00835356"/>
    <w:rsid w:val="00835BF2"/>
    <w:rsid w:val="00836D5A"/>
    <w:rsid w:val="00837770"/>
    <w:rsid w:val="0083795A"/>
    <w:rsid w:val="00837C9F"/>
    <w:rsid w:val="00837CB6"/>
    <w:rsid w:val="00841883"/>
    <w:rsid w:val="00841B23"/>
    <w:rsid w:val="00842068"/>
    <w:rsid w:val="00843379"/>
    <w:rsid w:val="008436F0"/>
    <w:rsid w:val="00843DAA"/>
    <w:rsid w:val="00843F40"/>
    <w:rsid w:val="008444BE"/>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5117"/>
    <w:rsid w:val="008757FA"/>
    <w:rsid w:val="00875CD2"/>
    <w:rsid w:val="008768D2"/>
    <w:rsid w:val="00880F6C"/>
    <w:rsid w:val="00881D74"/>
    <w:rsid w:val="0088223F"/>
    <w:rsid w:val="00884DAD"/>
    <w:rsid w:val="008850B6"/>
    <w:rsid w:val="008855E2"/>
    <w:rsid w:val="00885E69"/>
    <w:rsid w:val="0088621F"/>
    <w:rsid w:val="00886521"/>
    <w:rsid w:val="00887BBB"/>
    <w:rsid w:val="00887F76"/>
    <w:rsid w:val="00891079"/>
    <w:rsid w:val="00891E8C"/>
    <w:rsid w:val="008937A3"/>
    <w:rsid w:val="0089509A"/>
    <w:rsid w:val="008A2592"/>
    <w:rsid w:val="008A4FE1"/>
    <w:rsid w:val="008A5E28"/>
    <w:rsid w:val="008B0EAE"/>
    <w:rsid w:val="008B2486"/>
    <w:rsid w:val="008B302A"/>
    <w:rsid w:val="008B4198"/>
    <w:rsid w:val="008B4609"/>
    <w:rsid w:val="008B725C"/>
    <w:rsid w:val="008C1D6D"/>
    <w:rsid w:val="008C200B"/>
    <w:rsid w:val="008C26A5"/>
    <w:rsid w:val="008C3F98"/>
    <w:rsid w:val="008C594A"/>
    <w:rsid w:val="008D1DAC"/>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314C"/>
    <w:rsid w:val="008E41AE"/>
    <w:rsid w:val="008E485D"/>
    <w:rsid w:val="008E5B71"/>
    <w:rsid w:val="008E705E"/>
    <w:rsid w:val="008E727F"/>
    <w:rsid w:val="008F2453"/>
    <w:rsid w:val="008F34E9"/>
    <w:rsid w:val="008F6CDD"/>
    <w:rsid w:val="008F7007"/>
    <w:rsid w:val="00900D26"/>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A8F"/>
    <w:rsid w:val="00925AF1"/>
    <w:rsid w:val="00925D8E"/>
    <w:rsid w:val="009269F5"/>
    <w:rsid w:val="0093018B"/>
    <w:rsid w:val="00930CAD"/>
    <w:rsid w:val="009333DC"/>
    <w:rsid w:val="00933686"/>
    <w:rsid w:val="0093373D"/>
    <w:rsid w:val="00935008"/>
    <w:rsid w:val="00936332"/>
    <w:rsid w:val="009400CF"/>
    <w:rsid w:val="0094029F"/>
    <w:rsid w:val="00940533"/>
    <w:rsid w:val="009410AE"/>
    <w:rsid w:val="00942D4D"/>
    <w:rsid w:val="009432FE"/>
    <w:rsid w:val="009438F8"/>
    <w:rsid w:val="00944414"/>
    <w:rsid w:val="00945FA9"/>
    <w:rsid w:val="0094691D"/>
    <w:rsid w:val="00951051"/>
    <w:rsid w:val="00952F6F"/>
    <w:rsid w:val="00953031"/>
    <w:rsid w:val="00954F42"/>
    <w:rsid w:val="00957172"/>
    <w:rsid w:val="009578D1"/>
    <w:rsid w:val="00957A33"/>
    <w:rsid w:val="0096003B"/>
    <w:rsid w:val="0096081E"/>
    <w:rsid w:val="0096137E"/>
    <w:rsid w:val="00961E92"/>
    <w:rsid w:val="0096459F"/>
    <w:rsid w:val="009647C5"/>
    <w:rsid w:val="0096604F"/>
    <w:rsid w:val="00966280"/>
    <w:rsid w:val="009663C5"/>
    <w:rsid w:val="009678FE"/>
    <w:rsid w:val="00971DDC"/>
    <w:rsid w:val="009737E4"/>
    <w:rsid w:val="009755AD"/>
    <w:rsid w:val="0097578C"/>
    <w:rsid w:val="009757E0"/>
    <w:rsid w:val="00975B41"/>
    <w:rsid w:val="009763AA"/>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3D3F"/>
    <w:rsid w:val="00A041F1"/>
    <w:rsid w:val="00A04BEB"/>
    <w:rsid w:val="00A04DE2"/>
    <w:rsid w:val="00A05412"/>
    <w:rsid w:val="00A1148B"/>
    <w:rsid w:val="00A117FD"/>
    <w:rsid w:val="00A11A20"/>
    <w:rsid w:val="00A11DFB"/>
    <w:rsid w:val="00A11F1E"/>
    <w:rsid w:val="00A13073"/>
    <w:rsid w:val="00A14BA5"/>
    <w:rsid w:val="00A14E89"/>
    <w:rsid w:val="00A15C80"/>
    <w:rsid w:val="00A15DA4"/>
    <w:rsid w:val="00A20607"/>
    <w:rsid w:val="00A20D0F"/>
    <w:rsid w:val="00A221B3"/>
    <w:rsid w:val="00A22250"/>
    <w:rsid w:val="00A2351E"/>
    <w:rsid w:val="00A2486B"/>
    <w:rsid w:val="00A25160"/>
    <w:rsid w:val="00A259B5"/>
    <w:rsid w:val="00A275B2"/>
    <w:rsid w:val="00A2769F"/>
    <w:rsid w:val="00A27E76"/>
    <w:rsid w:val="00A27F01"/>
    <w:rsid w:val="00A31A13"/>
    <w:rsid w:val="00A31A7B"/>
    <w:rsid w:val="00A323D7"/>
    <w:rsid w:val="00A32701"/>
    <w:rsid w:val="00A32A1D"/>
    <w:rsid w:val="00A32D2B"/>
    <w:rsid w:val="00A330EB"/>
    <w:rsid w:val="00A334CC"/>
    <w:rsid w:val="00A33E4C"/>
    <w:rsid w:val="00A34B44"/>
    <w:rsid w:val="00A36953"/>
    <w:rsid w:val="00A40F4B"/>
    <w:rsid w:val="00A4263A"/>
    <w:rsid w:val="00A44BE1"/>
    <w:rsid w:val="00A4500D"/>
    <w:rsid w:val="00A504A8"/>
    <w:rsid w:val="00A527D9"/>
    <w:rsid w:val="00A53CDD"/>
    <w:rsid w:val="00A542B8"/>
    <w:rsid w:val="00A54719"/>
    <w:rsid w:val="00A552FB"/>
    <w:rsid w:val="00A56A1D"/>
    <w:rsid w:val="00A5709E"/>
    <w:rsid w:val="00A5741E"/>
    <w:rsid w:val="00A612B9"/>
    <w:rsid w:val="00A63291"/>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4EA2"/>
    <w:rsid w:val="00A95040"/>
    <w:rsid w:val="00A95088"/>
    <w:rsid w:val="00A957EB"/>
    <w:rsid w:val="00A960AC"/>
    <w:rsid w:val="00AA0A31"/>
    <w:rsid w:val="00AA3298"/>
    <w:rsid w:val="00AA41AA"/>
    <w:rsid w:val="00AA435D"/>
    <w:rsid w:val="00AA6892"/>
    <w:rsid w:val="00AA72CC"/>
    <w:rsid w:val="00AA76B7"/>
    <w:rsid w:val="00AB049C"/>
    <w:rsid w:val="00AB134B"/>
    <w:rsid w:val="00AB1D7B"/>
    <w:rsid w:val="00AB1EA3"/>
    <w:rsid w:val="00AB203B"/>
    <w:rsid w:val="00AB2332"/>
    <w:rsid w:val="00AB2492"/>
    <w:rsid w:val="00AB265A"/>
    <w:rsid w:val="00AB3399"/>
    <w:rsid w:val="00AB3D67"/>
    <w:rsid w:val="00AB4F4F"/>
    <w:rsid w:val="00AB6BB3"/>
    <w:rsid w:val="00AC0D4C"/>
    <w:rsid w:val="00AC3137"/>
    <w:rsid w:val="00AC4276"/>
    <w:rsid w:val="00AC464D"/>
    <w:rsid w:val="00AC51E8"/>
    <w:rsid w:val="00AC5A84"/>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2820"/>
    <w:rsid w:val="00B3460A"/>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2A05"/>
    <w:rsid w:val="00B53EAE"/>
    <w:rsid w:val="00B55CF3"/>
    <w:rsid w:val="00B57187"/>
    <w:rsid w:val="00B57304"/>
    <w:rsid w:val="00B609A8"/>
    <w:rsid w:val="00B65BF6"/>
    <w:rsid w:val="00B670CE"/>
    <w:rsid w:val="00B67B79"/>
    <w:rsid w:val="00B67E74"/>
    <w:rsid w:val="00B70722"/>
    <w:rsid w:val="00B713C3"/>
    <w:rsid w:val="00B714B6"/>
    <w:rsid w:val="00B716F8"/>
    <w:rsid w:val="00B74FDC"/>
    <w:rsid w:val="00B7693C"/>
    <w:rsid w:val="00B76AB2"/>
    <w:rsid w:val="00B76DE1"/>
    <w:rsid w:val="00B82234"/>
    <w:rsid w:val="00B8283E"/>
    <w:rsid w:val="00B832A6"/>
    <w:rsid w:val="00B837AA"/>
    <w:rsid w:val="00B873CB"/>
    <w:rsid w:val="00B87D03"/>
    <w:rsid w:val="00B9064C"/>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49A8"/>
    <w:rsid w:val="00BF5C82"/>
    <w:rsid w:val="00BF7A5E"/>
    <w:rsid w:val="00C0085D"/>
    <w:rsid w:val="00C00984"/>
    <w:rsid w:val="00C00E47"/>
    <w:rsid w:val="00C010AA"/>
    <w:rsid w:val="00C013EF"/>
    <w:rsid w:val="00C02D2A"/>
    <w:rsid w:val="00C02D77"/>
    <w:rsid w:val="00C0358E"/>
    <w:rsid w:val="00C057BD"/>
    <w:rsid w:val="00C072E1"/>
    <w:rsid w:val="00C118B5"/>
    <w:rsid w:val="00C11D21"/>
    <w:rsid w:val="00C11EFC"/>
    <w:rsid w:val="00C1675F"/>
    <w:rsid w:val="00C2052B"/>
    <w:rsid w:val="00C21F2D"/>
    <w:rsid w:val="00C23439"/>
    <w:rsid w:val="00C253AC"/>
    <w:rsid w:val="00C27213"/>
    <w:rsid w:val="00C278C2"/>
    <w:rsid w:val="00C27BB8"/>
    <w:rsid w:val="00C30185"/>
    <w:rsid w:val="00C302D7"/>
    <w:rsid w:val="00C3083D"/>
    <w:rsid w:val="00C310BF"/>
    <w:rsid w:val="00C32425"/>
    <w:rsid w:val="00C33DEA"/>
    <w:rsid w:val="00C35152"/>
    <w:rsid w:val="00C353D0"/>
    <w:rsid w:val="00C35AE1"/>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3005"/>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3E47"/>
    <w:rsid w:val="00CB447F"/>
    <w:rsid w:val="00CB5048"/>
    <w:rsid w:val="00CC10DA"/>
    <w:rsid w:val="00CC156D"/>
    <w:rsid w:val="00CC1CA4"/>
    <w:rsid w:val="00CC2929"/>
    <w:rsid w:val="00CC58C3"/>
    <w:rsid w:val="00CC6448"/>
    <w:rsid w:val="00CC6668"/>
    <w:rsid w:val="00CC6970"/>
    <w:rsid w:val="00CC69F7"/>
    <w:rsid w:val="00CD16C7"/>
    <w:rsid w:val="00CD229F"/>
    <w:rsid w:val="00CD2E60"/>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6A49"/>
    <w:rsid w:val="00CF7088"/>
    <w:rsid w:val="00D0108B"/>
    <w:rsid w:val="00D029CB"/>
    <w:rsid w:val="00D04274"/>
    <w:rsid w:val="00D05A8B"/>
    <w:rsid w:val="00D0622A"/>
    <w:rsid w:val="00D06659"/>
    <w:rsid w:val="00D0699D"/>
    <w:rsid w:val="00D10B09"/>
    <w:rsid w:val="00D132D0"/>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448D"/>
    <w:rsid w:val="00D45E14"/>
    <w:rsid w:val="00D4755C"/>
    <w:rsid w:val="00D52834"/>
    <w:rsid w:val="00D544FE"/>
    <w:rsid w:val="00D5596F"/>
    <w:rsid w:val="00D55C96"/>
    <w:rsid w:val="00D56F3F"/>
    <w:rsid w:val="00D61F13"/>
    <w:rsid w:val="00D66939"/>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1ABD"/>
    <w:rsid w:val="00D81BAC"/>
    <w:rsid w:val="00D81D61"/>
    <w:rsid w:val="00D82C56"/>
    <w:rsid w:val="00D82EE7"/>
    <w:rsid w:val="00D83149"/>
    <w:rsid w:val="00D83173"/>
    <w:rsid w:val="00D8380A"/>
    <w:rsid w:val="00D84ABB"/>
    <w:rsid w:val="00D85273"/>
    <w:rsid w:val="00D87AA7"/>
    <w:rsid w:val="00D90425"/>
    <w:rsid w:val="00D90CC5"/>
    <w:rsid w:val="00D92C6A"/>
    <w:rsid w:val="00D95330"/>
    <w:rsid w:val="00D97C16"/>
    <w:rsid w:val="00DA12AB"/>
    <w:rsid w:val="00DA1A93"/>
    <w:rsid w:val="00DA204B"/>
    <w:rsid w:val="00DA4303"/>
    <w:rsid w:val="00DA52B8"/>
    <w:rsid w:val="00DA7973"/>
    <w:rsid w:val="00DB2CA5"/>
    <w:rsid w:val="00DB3689"/>
    <w:rsid w:val="00DB3767"/>
    <w:rsid w:val="00DB39E0"/>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0F"/>
    <w:rsid w:val="00E1011C"/>
    <w:rsid w:val="00E1018A"/>
    <w:rsid w:val="00E120F4"/>
    <w:rsid w:val="00E136D8"/>
    <w:rsid w:val="00E148F6"/>
    <w:rsid w:val="00E153F6"/>
    <w:rsid w:val="00E15C4F"/>
    <w:rsid w:val="00E15F7E"/>
    <w:rsid w:val="00E173DF"/>
    <w:rsid w:val="00E235F9"/>
    <w:rsid w:val="00E248EB"/>
    <w:rsid w:val="00E2626C"/>
    <w:rsid w:val="00E27FC2"/>
    <w:rsid w:val="00E30B6B"/>
    <w:rsid w:val="00E31912"/>
    <w:rsid w:val="00E31B60"/>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5FB"/>
    <w:rsid w:val="00E50ED3"/>
    <w:rsid w:val="00E521EE"/>
    <w:rsid w:val="00E54BA6"/>
    <w:rsid w:val="00E557EF"/>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1559"/>
    <w:rsid w:val="00EB1663"/>
    <w:rsid w:val="00EB2521"/>
    <w:rsid w:val="00EB2699"/>
    <w:rsid w:val="00EB38A5"/>
    <w:rsid w:val="00EB4324"/>
    <w:rsid w:val="00EB4808"/>
    <w:rsid w:val="00EB6B41"/>
    <w:rsid w:val="00EB7739"/>
    <w:rsid w:val="00EB7A35"/>
    <w:rsid w:val="00EC1D1E"/>
    <w:rsid w:val="00EC201F"/>
    <w:rsid w:val="00EC2DD1"/>
    <w:rsid w:val="00EC465B"/>
    <w:rsid w:val="00EC5A04"/>
    <w:rsid w:val="00EC7D8F"/>
    <w:rsid w:val="00EC7E1A"/>
    <w:rsid w:val="00ED039F"/>
    <w:rsid w:val="00ED09F7"/>
    <w:rsid w:val="00ED0E03"/>
    <w:rsid w:val="00ED0F55"/>
    <w:rsid w:val="00ED19D2"/>
    <w:rsid w:val="00ED23DD"/>
    <w:rsid w:val="00ED5032"/>
    <w:rsid w:val="00ED5270"/>
    <w:rsid w:val="00ED55D8"/>
    <w:rsid w:val="00ED7856"/>
    <w:rsid w:val="00ED792B"/>
    <w:rsid w:val="00ED7DC2"/>
    <w:rsid w:val="00EE1B25"/>
    <w:rsid w:val="00EE3EE2"/>
    <w:rsid w:val="00EE5769"/>
    <w:rsid w:val="00EE5CA6"/>
    <w:rsid w:val="00EE6916"/>
    <w:rsid w:val="00EF1335"/>
    <w:rsid w:val="00EF1557"/>
    <w:rsid w:val="00EF245B"/>
    <w:rsid w:val="00EF2499"/>
    <w:rsid w:val="00EF4AE0"/>
    <w:rsid w:val="00EF4B3A"/>
    <w:rsid w:val="00EF6FA1"/>
    <w:rsid w:val="00F012FF"/>
    <w:rsid w:val="00F01A21"/>
    <w:rsid w:val="00F046E9"/>
    <w:rsid w:val="00F04831"/>
    <w:rsid w:val="00F05014"/>
    <w:rsid w:val="00F07ABB"/>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2E21"/>
    <w:rsid w:val="00F4307A"/>
    <w:rsid w:val="00F43D26"/>
    <w:rsid w:val="00F44A40"/>
    <w:rsid w:val="00F46039"/>
    <w:rsid w:val="00F46B8B"/>
    <w:rsid w:val="00F47660"/>
    <w:rsid w:val="00F507DB"/>
    <w:rsid w:val="00F5236F"/>
    <w:rsid w:val="00F528E0"/>
    <w:rsid w:val="00F52C7A"/>
    <w:rsid w:val="00F544AB"/>
    <w:rsid w:val="00F54988"/>
    <w:rsid w:val="00F54ECD"/>
    <w:rsid w:val="00F563A3"/>
    <w:rsid w:val="00F5653F"/>
    <w:rsid w:val="00F56A1B"/>
    <w:rsid w:val="00F6079F"/>
    <w:rsid w:val="00F60896"/>
    <w:rsid w:val="00F6227E"/>
    <w:rsid w:val="00F64AA8"/>
    <w:rsid w:val="00F64EA5"/>
    <w:rsid w:val="00F65F37"/>
    <w:rsid w:val="00F66A3D"/>
    <w:rsid w:val="00F66DF3"/>
    <w:rsid w:val="00F67AB2"/>
    <w:rsid w:val="00F67C61"/>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6293"/>
    <w:rsid w:val="00FB79F1"/>
    <w:rsid w:val="00FB7E5A"/>
    <w:rsid w:val="00FC07B8"/>
    <w:rsid w:val="00FC13D8"/>
    <w:rsid w:val="00FC17BB"/>
    <w:rsid w:val="00FC34E3"/>
    <w:rsid w:val="00FC6E54"/>
    <w:rsid w:val="00FD09B7"/>
    <w:rsid w:val="00FD1379"/>
    <w:rsid w:val="00FD33A2"/>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0FF6037"/>
    <w:rsid w:val="01C97F9D"/>
    <w:rsid w:val="01D403F4"/>
    <w:rsid w:val="02355118"/>
    <w:rsid w:val="0276200A"/>
    <w:rsid w:val="02AA6EA0"/>
    <w:rsid w:val="05BE6761"/>
    <w:rsid w:val="05CD3098"/>
    <w:rsid w:val="062B5DEF"/>
    <w:rsid w:val="066F03DC"/>
    <w:rsid w:val="07D30317"/>
    <w:rsid w:val="087D49D7"/>
    <w:rsid w:val="098B1EF5"/>
    <w:rsid w:val="09F00BD8"/>
    <w:rsid w:val="0B2C0FB7"/>
    <w:rsid w:val="0BF126B7"/>
    <w:rsid w:val="0CBA1583"/>
    <w:rsid w:val="0D47430F"/>
    <w:rsid w:val="0E6F0740"/>
    <w:rsid w:val="0F321E2D"/>
    <w:rsid w:val="10DF3115"/>
    <w:rsid w:val="131C76E1"/>
    <w:rsid w:val="13E92B8C"/>
    <w:rsid w:val="1501485D"/>
    <w:rsid w:val="18977A7E"/>
    <w:rsid w:val="1A9B1F53"/>
    <w:rsid w:val="1AF76148"/>
    <w:rsid w:val="1B3D4012"/>
    <w:rsid w:val="1B481AFB"/>
    <w:rsid w:val="1B9A670D"/>
    <w:rsid w:val="1D235F66"/>
    <w:rsid w:val="1D330706"/>
    <w:rsid w:val="1D665A9E"/>
    <w:rsid w:val="1D8D3AB3"/>
    <w:rsid w:val="1E1907F1"/>
    <w:rsid w:val="1E21472F"/>
    <w:rsid w:val="1E64724C"/>
    <w:rsid w:val="1EB2633F"/>
    <w:rsid w:val="1F51614F"/>
    <w:rsid w:val="20705710"/>
    <w:rsid w:val="21017FA2"/>
    <w:rsid w:val="211E529B"/>
    <w:rsid w:val="22D726DB"/>
    <w:rsid w:val="232660FF"/>
    <w:rsid w:val="248512BD"/>
    <w:rsid w:val="25BD7B50"/>
    <w:rsid w:val="267E2844"/>
    <w:rsid w:val="26C54B9A"/>
    <w:rsid w:val="2744098B"/>
    <w:rsid w:val="2A4A4D64"/>
    <w:rsid w:val="2AA14025"/>
    <w:rsid w:val="2AA823D6"/>
    <w:rsid w:val="2B2348E2"/>
    <w:rsid w:val="2C7F2EA6"/>
    <w:rsid w:val="2D1E05D5"/>
    <w:rsid w:val="2E3D4E18"/>
    <w:rsid w:val="3003631E"/>
    <w:rsid w:val="3078124A"/>
    <w:rsid w:val="3090209F"/>
    <w:rsid w:val="31D17A6A"/>
    <w:rsid w:val="31DE1118"/>
    <w:rsid w:val="322132E0"/>
    <w:rsid w:val="32C850C3"/>
    <w:rsid w:val="32D900A8"/>
    <w:rsid w:val="38FA0996"/>
    <w:rsid w:val="39193DDA"/>
    <w:rsid w:val="396E02FE"/>
    <w:rsid w:val="3AA26C9B"/>
    <w:rsid w:val="3AD02A6E"/>
    <w:rsid w:val="3ADC5E36"/>
    <w:rsid w:val="3B0416FB"/>
    <w:rsid w:val="3C3F7E0E"/>
    <w:rsid w:val="3E7A082F"/>
    <w:rsid w:val="409C5D7A"/>
    <w:rsid w:val="42680181"/>
    <w:rsid w:val="437906BF"/>
    <w:rsid w:val="44C70D28"/>
    <w:rsid w:val="452560E2"/>
    <w:rsid w:val="454E006C"/>
    <w:rsid w:val="4625557D"/>
    <w:rsid w:val="465173C0"/>
    <w:rsid w:val="47727391"/>
    <w:rsid w:val="491777D7"/>
    <w:rsid w:val="49300F16"/>
    <w:rsid w:val="49613924"/>
    <w:rsid w:val="498254A8"/>
    <w:rsid w:val="49DD7C63"/>
    <w:rsid w:val="4A281621"/>
    <w:rsid w:val="4A6E0969"/>
    <w:rsid w:val="4B3040AF"/>
    <w:rsid w:val="4B690ACB"/>
    <w:rsid w:val="4C081A35"/>
    <w:rsid w:val="4CF24C8C"/>
    <w:rsid w:val="4D786103"/>
    <w:rsid w:val="4E4B76B0"/>
    <w:rsid w:val="4F2F25EA"/>
    <w:rsid w:val="504676DF"/>
    <w:rsid w:val="50737A84"/>
    <w:rsid w:val="50F36CD9"/>
    <w:rsid w:val="51156F36"/>
    <w:rsid w:val="520B7E75"/>
    <w:rsid w:val="523A7D4C"/>
    <w:rsid w:val="53AB764B"/>
    <w:rsid w:val="53CF1295"/>
    <w:rsid w:val="549E4FE2"/>
    <w:rsid w:val="55E15918"/>
    <w:rsid w:val="56830F29"/>
    <w:rsid w:val="56BF0EA2"/>
    <w:rsid w:val="56CE15F2"/>
    <w:rsid w:val="57A329FE"/>
    <w:rsid w:val="583E196F"/>
    <w:rsid w:val="59414843"/>
    <w:rsid w:val="59996800"/>
    <w:rsid w:val="5A05020C"/>
    <w:rsid w:val="5B2C56F7"/>
    <w:rsid w:val="5B6F6EFD"/>
    <w:rsid w:val="5BDF3319"/>
    <w:rsid w:val="5D93468D"/>
    <w:rsid w:val="5EA87B0A"/>
    <w:rsid w:val="5EB119EE"/>
    <w:rsid w:val="5EC70806"/>
    <w:rsid w:val="5F8828F6"/>
    <w:rsid w:val="626E2D07"/>
    <w:rsid w:val="62B8321C"/>
    <w:rsid w:val="63766DF5"/>
    <w:rsid w:val="63A965A7"/>
    <w:rsid w:val="63E41E32"/>
    <w:rsid w:val="64744991"/>
    <w:rsid w:val="6478585B"/>
    <w:rsid w:val="66E97154"/>
    <w:rsid w:val="66F40073"/>
    <w:rsid w:val="66F9171A"/>
    <w:rsid w:val="6761194F"/>
    <w:rsid w:val="67A01566"/>
    <w:rsid w:val="67A84465"/>
    <w:rsid w:val="68C14726"/>
    <w:rsid w:val="69797C2C"/>
    <w:rsid w:val="6D1112AB"/>
    <w:rsid w:val="6D735E56"/>
    <w:rsid w:val="6D935AB0"/>
    <w:rsid w:val="6E087119"/>
    <w:rsid w:val="70D03D2D"/>
    <w:rsid w:val="71173046"/>
    <w:rsid w:val="72E9489F"/>
    <w:rsid w:val="73E1565D"/>
    <w:rsid w:val="75544B2F"/>
    <w:rsid w:val="760A43BF"/>
    <w:rsid w:val="783E4597"/>
    <w:rsid w:val="7A265E0F"/>
    <w:rsid w:val="7A962AD2"/>
    <w:rsid w:val="7B82113C"/>
    <w:rsid w:val="7BE208A5"/>
    <w:rsid w:val="7C7E67AB"/>
    <w:rsid w:val="7D2A73BF"/>
    <w:rsid w:val="7D87285F"/>
    <w:rsid w:val="7DB434E2"/>
    <w:rsid w:val="7DDB64D4"/>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F56242"/>
  <w15:docId w15:val="{A1754BB5-B3DB-4CA5-9833-A0BE063DF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widowControl/>
      <w:spacing w:before="40"/>
      <w:ind w:left="849" w:hanging="283"/>
      <w:jc w:val="left"/>
    </w:pPr>
    <w:rPr>
      <w:rFonts w:eastAsia="MS Mincho"/>
      <w:kern w:val="0"/>
      <w:sz w:val="20"/>
    </w:rPr>
  </w:style>
  <w:style w:type="paragraph" w:styleId="List2">
    <w:name w:val="List 2"/>
    <w:basedOn w:val="List"/>
    <w:unhideWhenUsed/>
    <w:qFormat/>
    <w:pPr>
      <w:ind w:leftChars="200" w:left="100"/>
    </w:pPr>
  </w:style>
  <w:style w:type="paragraph" w:styleId="List">
    <w:name w:val="List"/>
    <w:basedOn w:val="Normal"/>
    <w:unhideWhenUsed/>
    <w:qFormat/>
    <w:pPr>
      <w:ind w:left="200" w:hangingChars="200" w:hanging="200"/>
      <w:contextualSpacing/>
    </w:p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kern w:val="2"/>
      <w:sz w:val="18"/>
      <w:szCs w:val="18"/>
      <w:lang w:val="en-US" w:eastAsia="zh-CN"/>
    </w:rPr>
  </w:style>
  <w:style w:type="paragraph" w:customStyle="1" w:styleId="a6">
    <w:name w:val="示例内容"/>
    <w:qFormat/>
    <w:pPr>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eastAsia="MS Mincho"/>
      <w:kern w:val="2"/>
      <w:sz w:val="32"/>
      <w:szCs w:val="21"/>
      <w:lang w:val="en-US" w:eastAsia="en-US"/>
    </w:rPr>
  </w:style>
  <w:style w:type="paragraph" w:customStyle="1" w:styleId="aff7">
    <w:name w:val="标准书眉一"/>
    <w:qFormat/>
    <w:pPr>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0" w:line="240" w:lineRule="auto"/>
    </w:pPr>
    <w:rPr>
      <w:kern w:val="2"/>
      <w:sz w:val="21"/>
      <w:szCs w:val="21"/>
    </w:rPr>
  </w:style>
  <w:style w:type="paragraph" w:customStyle="1" w:styleId="Revision3">
    <w:name w:val="Revision3"/>
    <w:hidden/>
    <w:uiPriority w:val="99"/>
    <w:semiHidden/>
    <w:qFormat/>
    <w:pPr>
      <w:spacing w:after="0" w:line="240" w:lineRule="auto"/>
    </w:pPr>
    <w:rPr>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pPr>
      <w:spacing w:after="0" w:line="240" w:lineRule="auto"/>
    </w:pPr>
    <w:rPr>
      <w:kern w:val="2"/>
      <w:sz w:val="21"/>
      <w:szCs w:val="21"/>
    </w:rPr>
  </w:style>
  <w:style w:type="paragraph" w:customStyle="1" w:styleId="Revision5">
    <w:name w:val="Revision5"/>
    <w:hidden/>
    <w:uiPriority w:val="99"/>
    <w:semiHidden/>
    <w:qFormat/>
    <w:pPr>
      <w:spacing w:after="0" w:line="240" w:lineRule="auto"/>
    </w:pPr>
    <w:rPr>
      <w:kern w:val="2"/>
      <w:sz w:val="21"/>
      <w:szCs w:val="2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spacing w:val="2"/>
      <w:lang w:val="en-US" w:eastAsia="en-US"/>
    </w:rPr>
  </w:style>
  <w:style w:type="character" w:customStyle="1" w:styleId="IvDbodytextChar">
    <w:name w:val="IvD bodytext Char"/>
    <w:basedOn w:val="DefaultParagraphFont"/>
    <w:link w:val="IvDbodytext"/>
    <w:qFormat/>
    <w:rPr>
      <w:spacing w:val="2"/>
      <w:lang w:val="en-US" w:eastAsia="en-US"/>
    </w:rPr>
  </w:style>
  <w:style w:type="paragraph" w:customStyle="1" w:styleId="Revision6">
    <w:name w:val="Revision6"/>
    <w:hidden/>
    <w:uiPriority w:val="99"/>
    <w:semiHidden/>
    <w:qFormat/>
    <w:pPr>
      <w:spacing w:after="0" w:line="240" w:lineRule="auto"/>
    </w:pPr>
    <w:rPr>
      <w:kern w:val="2"/>
      <w:sz w:val="21"/>
      <w:szCs w:val="21"/>
    </w:rPr>
  </w:style>
  <w:style w:type="paragraph" w:customStyle="1" w:styleId="Revision7">
    <w:name w:val="Revision7"/>
    <w:hidden/>
    <w:uiPriority w:val="99"/>
    <w:semiHidden/>
    <w:qFormat/>
    <w:pPr>
      <w:spacing w:after="0" w:line="240" w:lineRule="auto"/>
    </w:pPr>
    <w:rPr>
      <w:kern w:val="2"/>
      <w:sz w:val="21"/>
      <w:szCs w:val="21"/>
    </w:rPr>
  </w:style>
  <w:style w:type="paragraph" w:customStyle="1" w:styleId="Revision8">
    <w:name w:val="Revision8"/>
    <w:hidden/>
    <w:uiPriority w:val="99"/>
    <w:semiHidden/>
    <w:pPr>
      <w:spacing w:after="0" w:line="240" w:lineRule="auto"/>
    </w:pPr>
    <w:rPr>
      <w:kern w:val="2"/>
      <w:sz w:val="21"/>
      <w:szCs w:val="21"/>
    </w:rPr>
  </w:style>
  <w:style w:type="paragraph" w:styleId="Revision">
    <w:name w:val="Revision"/>
    <w:hidden/>
    <w:uiPriority w:val="99"/>
    <w:semiHidden/>
    <w:rsid w:val="00AC5A84"/>
    <w:pPr>
      <w:spacing w:after="0" w:line="240" w:lineRule="auto"/>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904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1846</Words>
  <Characters>10527</Characters>
  <Application>Microsoft Office Word</Application>
  <DocSecurity>0</DocSecurity>
  <Lines>87</Lines>
  <Paragraphs>24</Paragraphs>
  <ScaleCrop>false</ScaleCrop>
  <Company>Hewlett-Packard Company</Company>
  <LinksUpToDate>false</LinksUpToDate>
  <CharactersWithSpaces>12349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8</cp:revision>
  <cp:lastPrinted>2113-01-01T00:00:00Z</cp:lastPrinted>
  <dcterms:created xsi:type="dcterms:W3CDTF">2022-09-28T10:35:00Z</dcterms:created>
  <dcterms:modified xsi:type="dcterms:W3CDTF">2022-11-03T16:16:00Z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